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2DFDC75B" w:rsidR="00C85E14" w:rsidRPr="006C2C8A" w:rsidRDefault="00C85E14" w:rsidP="002F4FAA">
      <w:pPr>
        <w:spacing w:after="0" w:line="300" w:lineRule="atLeast"/>
        <w:rPr>
          <w:rFonts w:ascii="Arial" w:hAnsi="Arial" w:cs="Arial"/>
        </w:rPr>
      </w:pPr>
      <w:r w:rsidRPr="00B74687">
        <w:rPr>
          <w:rFonts w:ascii="Arial" w:hAnsi="Arial" w:cs="Arial"/>
        </w:rPr>
        <w:t xml:space="preserve">Zagreb, </w:t>
      </w:r>
      <w:r w:rsidR="00EA4E5F" w:rsidRPr="00B74687">
        <w:rPr>
          <w:rFonts w:ascii="Arial" w:hAnsi="Arial" w:cs="Arial"/>
        </w:rPr>
        <w:t>1</w:t>
      </w:r>
      <w:r w:rsidR="006111CC" w:rsidRPr="00B74687">
        <w:rPr>
          <w:rFonts w:ascii="Arial" w:hAnsi="Arial" w:cs="Arial"/>
        </w:rPr>
        <w:t>3</w:t>
      </w:r>
      <w:r w:rsidR="00F77C6D" w:rsidRPr="00B74687">
        <w:rPr>
          <w:rFonts w:ascii="Arial" w:hAnsi="Arial" w:cs="Arial"/>
        </w:rPr>
        <w:t xml:space="preserve">. </w:t>
      </w:r>
      <w:r w:rsidR="001B67E2" w:rsidRPr="00B74687">
        <w:rPr>
          <w:rFonts w:ascii="Arial" w:hAnsi="Arial" w:cs="Arial"/>
        </w:rPr>
        <w:t>svibnja</w:t>
      </w:r>
      <w:r w:rsidR="00F77C6D" w:rsidRPr="00B74687">
        <w:rPr>
          <w:rFonts w:ascii="Arial" w:hAnsi="Arial" w:cs="Arial"/>
        </w:rPr>
        <w:t xml:space="preserve"> </w:t>
      </w:r>
      <w:r w:rsidRPr="00B74687">
        <w:rPr>
          <w:rFonts w:ascii="Arial" w:hAnsi="Arial" w:cs="Arial"/>
        </w:rPr>
        <w:t>202</w:t>
      </w:r>
      <w:r w:rsidR="000467CF" w:rsidRPr="00B74687">
        <w:rPr>
          <w:rFonts w:ascii="Arial" w:hAnsi="Arial" w:cs="Arial"/>
        </w:rPr>
        <w:t>5</w:t>
      </w:r>
      <w:r w:rsidR="00A72EA0" w:rsidRPr="00B74687">
        <w:rPr>
          <w:rFonts w:ascii="Arial" w:hAnsi="Arial" w:cs="Arial"/>
        </w:rPr>
        <w:t>.</w:t>
      </w:r>
    </w:p>
    <w:p w14:paraId="5EAF4770" w14:textId="77777777" w:rsidR="00C85E14" w:rsidRPr="006C2C8A" w:rsidRDefault="00C85E14" w:rsidP="002F4FAA">
      <w:pPr>
        <w:spacing w:after="0" w:line="300" w:lineRule="atLeast"/>
        <w:rPr>
          <w:rFonts w:ascii="Arial" w:hAnsi="Arial" w:cs="Arial"/>
          <w:b/>
          <w:smallCaps/>
        </w:rPr>
      </w:pPr>
    </w:p>
    <w:p w14:paraId="4E898297" w14:textId="07849528" w:rsidR="008D4EA3" w:rsidRPr="00CC5167" w:rsidRDefault="00780686" w:rsidP="002F4FAA">
      <w:pPr>
        <w:spacing w:after="0" w:line="300" w:lineRule="atLeast"/>
        <w:rPr>
          <w:rFonts w:ascii="Arial" w:hAnsi="Arial" w:cs="Arial"/>
          <w:b/>
          <w:sz w:val="28"/>
          <w:szCs w:val="28"/>
        </w:rPr>
      </w:pPr>
      <w:r w:rsidRPr="00CC5167">
        <w:rPr>
          <w:rFonts w:ascii="Arial" w:hAnsi="Arial" w:cs="Arial"/>
          <w:b/>
          <w:sz w:val="28"/>
          <w:szCs w:val="28"/>
        </w:rPr>
        <w:t>OBJAVA ZA MEDIJE</w:t>
      </w:r>
    </w:p>
    <w:p w14:paraId="0BAF6CF9" w14:textId="43524C58" w:rsidR="001B67E2" w:rsidRDefault="001B67E2" w:rsidP="001B67E2">
      <w:pPr>
        <w:pBdr>
          <w:bottom w:val="single" w:sz="6" w:space="1" w:color="808080" w:themeColor="background1" w:themeShade="80"/>
        </w:pBdr>
        <w:spacing w:after="0" w:line="300" w:lineRule="atLeast"/>
        <w:rPr>
          <w:rFonts w:ascii="Arial" w:hAnsi="Arial" w:cs="Arial"/>
          <w:b/>
          <w:color w:val="C00000"/>
          <w:sz w:val="28"/>
          <w:szCs w:val="28"/>
        </w:rPr>
      </w:pPr>
      <w:r w:rsidRPr="001B67E2">
        <w:rPr>
          <w:rFonts w:ascii="Arial" w:hAnsi="Arial" w:cs="Arial"/>
          <w:b/>
          <w:color w:val="C00000"/>
          <w:sz w:val="28"/>
          <w:szCs w:val="28"/>
        </w:rPr>
        <w:t>PRORAČUNSKA VJERODOSTOJNOST POD POVEĆALOM: USPOREDNA ANALIZA HRVATSKIH I SLOVENSKIH LOKALNIH JEDINICA</w:t>
      </w:r>
    </w:p>
    <w:p w14:paraId="4E49F8F4" w14:textId="77777777" w:rsidR="00FA3E45" w:rsidRPr="006C2C8A" w:rsidRDefault="00FA3E45" w:rsidP="002F4FAA">
      <w:pPr>
        <w:spacing w:after="0" w:line="300" w:lineRule="atLeast"/>
        <w:rPr>
          <w:rFonts w:ascii="Arial" w:hAnsi="Arial" w:cs="Arial"/>
          <w:i/>
          <w:iCs/>
        </w:rPr>
      </w:pPr>
    </w:p>
    <w:p w14:paraId="485D309D" w14:textId="7B996DE5" w:rsidR="009D22C5" w:rsidRPr="00062468" w:rsidRDefault="001B60C8" w:rsidP="00683047">
      <w:pPr>
        <w:spacing w:after="0" w:line="300" w:lineRule="atLeast"/>
        <w:jc w:val="both"/>
        <w:rPr>
          <w:rFonts w:ascii="Arial" w:hAnsi="Arial" w:cs="Arial"/>
          <w:bCs/>
          <w:i/>
          <w:iCs/>
        </w:rPr>
      </w:pPr>
      <w:r w:rsidRPr="00062468">
        <w:rPr>
          <w:rFonts w:ascii="Arial" w:hAnsi="Arial" w:cs="Arial"/>
          <w:i/>
          <w:iCs/>
        </w:rPr>
        <w:t xml:space="preserve">U </w:t>
      </w:r>
      <w:hyperlink r:id="rId8" w:history="1">
        <w:r w:rsidR="0075275F" w:rsidRPr="000027B4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novome broju </w:t>
        </w:r>
        <w:r w:rsidR="006C1916" w:rsidRPr="000027B4">
          <w:rPr>
            <w:rStyle w:val="Hyperlink"/>
            <w:rFonts w:ascii="Arial" w:hAnsi="Arial" w:cs="Arial"/>
            <w:i/>
            <w:iCs/>
            <w:color w:val="C00000"/>
            <w:u w:val="none"/>
          </w:rPr>
          <w:t>O</w:t>
        </w:r>
        <w:r w:rsidRPr="000027B4">
          <w:rPr>
            <w:rStyle w:val="Hyperlink"/>
            <w:rFonts w:ascii="Arial" w:hAnsi="Arial" w:cs="Arial"/>
            <w:i/>
            <w:iCs/>
            <w:color w:val="C00000"/>
            <w:u w:val="none"/>
          </w:rPr>
          <w:t>svrt</w:t>
        </w:r>
        <w:r w:rsidR="006C1916" w:rsidRPr="000027B4">
          <w:rPr>
            <w:rStyle w:val="Hyperlink"/>
            <w:rFonts w:ascii="Arial" w:hAnsi="Arial" w:cs="Arial"/>
            <w:i/>
            <w:iCs/>
            <w:color w:val="C00000"/>
            <w:u w:val="none"/>
          </w:rPr>
          <w:t>a</w:t>
        </w:r>
        <w:r w:rsidRPr="000027B4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 Instituta za javne financije</w:t>
        </w:r>
      </w:hyperlink>
      <w:r w:rsidRPr="00062468">
        <w:rPr>
          <w:rFonts w:ascii="Arial" w:hAnsi="Arial" w:cs="Arial"/>
          <w:i/>
          <w:iCs/>
        </w:rPr>
        <w:t xml:space="preserve"> </w:t>
      </w:r>
      <w:r w:rsidR="00C97BF4" w:rsidRPr="00062468">
        <w:rPr>
          <w:rFonts w:ascii="Arial" w:hAnsi="Arial" w:cs="Arial"/>
          <w:b/>
          <w:bCs/>
          <w:i/>
          <w:iCs/>
        </w:rPr>
        <w:t xml:space="preserve">Simona </w:t>
      </w:r>
      <w:proofErr w:type="spellStart"/>
      <w:r w:rsidR="00C97BF4" w:rsidRPr="00062468">
        <w:rPr>
          <w:rFonts w:ascii="Arial" w:hAnsi="Arial" w:cs="Arial"/>
          <w:b/>
          <w:bCs/>
          <w:i/>
          <w:iCs/>
        </w:rPr>
        <w:t>Prijaković</w:t>
      </w:r>
      <w:proofErr w:type="spellEnd"/>
      <w:r w:rsidRPr="00062468">
        <w:rPr>
          <w:rFonts w:ascii="Arial" w:hAnsi="Arial" w:cs="Arial"/>
          <w:i/>
          <w:iCs/>
        </w:rPr>
        <w:t xml:space="preserve"> </w:t>
      </w:r>
      <w:r w:rsidR="00712750" w:rsidRPr="00062468">
        <w:rPr>
          <w:rFonts w:ascii="Arial" w:hAnsi="Arial" w:cs="Arial"/>
          <w:i/>
          <w:iCs/>
        </w:rPr>
        <w:t xml:space="preserve">analizira </w:t>
      </w:r>
      <w:r w:rsidR="004B0FE7" w:rsidRPr="00062468">
        <w:rPr>
          <w:rFonts w:ascii="Arial" w:hAnsi="Arial" w:cs="Arial"/>
          <w:i/>
          <w:iCs/>
        </w:rPr>
        <w:t>koliko precizno lokalne vlasti u H</w:t>
      </w:r>
      <w:r w:rsidR="00C97BF4" w:rsidRPr="00062468">
        <w:rPr>
          <w:rFonts w:ascii="Arial" w:hAnsi="Arial" w:cs="Arial"/>
          <w:i/>
          <w:iCs/>
        </w:rPr>
        <w:t>rvatsk</w:t>
      </w:r>
      <w:r w:rsidR="004B0FE7" w:rsidRPr="00062468">
        <w:rPr>
          <w:rFonts w:ascii="Arial" w:hAnsi="Arial" w:cs="Arial"/>
          <w:i/>
          <w:iCs/>
        </w:rPr>
        <w:t xml:space="preserve">oj i Sloveniji planiraju proračune uspoređujući </w:t>
      </w:r>
      <w:r w:rsidR="00C97BF4" w:rsidRPr="00062468">
        <w:rPr>
          <w:rFonts w:ascii="Arial" w:hAnsi="Arial" w:cs="Arial"/>
          <w:i/>
          <w:iCs/>
        </w:rPr>
        <w:t>planiran</w:t>
      </w:r>
      <w:r w:rsidR="004B0FE7" w:rsidRPr="00062468">
        <w:rPr>
          <w:rFonts w:ascii="Arial" w:hAnsi="Arial" w:cs="Arial"/>
          <w:i/>
          <w:iCs/>
        </w:rPr>
        <w:t>e</w:t>
      </w:r>
      <w:r w:rsidR="00C97BF4" w:rsidRPr="00062468">
        <w:rPr>
          <w:rFonts w:ascii="Arial" w:hAnsi="Arial" w:cs="Arial"/>
          <w:i/>
          <w:iCs/>
        </w:rPr>
        <w:t xml:space="preserve"> i ostvaren</w:t>
      </w:r>
      <w:r w:rsidR="004B0FE7" w:rsidRPr="00062468">
        <w:rPr>
          <w:rFonts w:ascii="Arial" w:hAnsi="Arial" w:cs="Arial"/>
          <w:i/>
          <w:iCs/>
        </w:rPr>
        <w:t>e</w:t>
      </w:r>
      <w:r w:rsidR="00C97BF4" w:rsidRPr="00062468">
        <w:rPr>
          <w:rFonts w:ascii="Arial" w:hAnsi="Arial" w:cs="Arial"/>
          <w:i/>
          <w:iCs/>
        </w:rPr>
        <w:t xml:space="preserve"> prihod</w:t>
      </w:r>
      <w:r w:rsidR="004B0FE7" w:rsidRPr="00062468">
        <w:rPr>
          <w:rFonts w:ascii="Arial" w:hAnsi="Arial" w:cs="Arial"/>
          <w:i/>
          <w:iCs/>
        </w:rPr>
        <w:t>e</w:t>
      </w:r>
      <w:r w:rsidR="00C97BF4" w:rsidRPr="00062468">
        <w:rPr>
          <w:rFonts w:ascii="Arial" w:hAnsi="Arial" w:cs="Arial"/>
          <w:i/>
          <w:iCs/>
        </w:rPr>
        <w:t xml:space="preserve"> i rashod</w:t>
      </w:r>
      <w:r w:rsidR="004B0FE7" w:rsidRPr="00062468">
        <w:rPr>
          <w:rFonts w:ascii="Arial" w:hAnsi="Arial" w:cs="Arial"/>
          <w:i/>
          <w:iCs/>
        </w:rPr>
        <w:t>e za 2023</w:t>
      </w:r>
      <w:r w:rsidR="001C4A8A" w:rsidRPr="00062468">
        <w:rPr>
          <w:rFonts w:ascii="Arial" w:hAnsi="Arial" w:cs="Arial"/>
          <w:i/>
          <w:iCs/>
        </w:rPr>
        <w:t xml:space="preserve">. </w:t>
      </w:r>
      <w:bookmarkStart w:id="0" w:name="_Hlk196394270"/>
      <w:r w:rsidR="00D7293E" w:rsidRPr="00062468">
        <w:rPr>
          <w:rFonts w:ascii="Arial" w:hAnsi="Arial" w:cs="Arial"/>
          <w:i/>
        </w:rPr>
        <w:t>Slovenske jedinice u prosjeku preciznije planiraju proračun, s manjim odstupanjima – osobito poreznih prihoda, ukupnih rashoda i rashoda poslovanja – dok hrvatske jedinice imaju veća odstupanja, naročito rashoda za nefinancijsku imovinu, prihoda poslovanja i ukupnih rashoda.</w:t>
      </w:r>
      <w:r w:rsidR="00E61284" w:rsidRPr="00062468">
        <w:rPr>
          <w:rFonts w:ascii="Arial" w:hAnsi="Arial" w:cs="Arial"/>
          <w:i/>
        </w:rPr>
        <w:t xml:space="preserve"> </w:t>
      </w:r>
      <w:r w:rsidR="001C4A8A" w:rsidRPr="00062468">
        <w:rPr>
          <w:rFonts w:ascii="Arial" w:hAnsi="Arial" w:cs="Arial"/>
          <w:i/>
          <w:iCs/>
        </w:rPr>
        <w:t xml:space="preserve">Analiza </w:t>
      </w:r>
      <w:r w:rsidR="00203529" w:rsidRPr="00062468">
        <w:rPr>
          <w:rFonts w:ascii="Arial" w:hAnsi="Arial" w:cs="Arial"/>
          <w:i/>
          <w:iCs/>
        </w:rPr>
        <w:t xml:space="preserve">ukazuje na </w:t>
      </w:r>
      <w:r w:rsidR="00C97BF4" w:rsidRPr="00062468">
        <w:rPr>
          <w:rFonts w:ascii="Arial" w:hAnsi="Arial" w:cs="Arial"/>
          <w:i/>
          <w:iCs/>
        </w:rPr>
        <w:t xml:space="preserve">nužnost transparentnosti i opreznijeg planiranja proračuna, posebno u manjim gradovima i općinama te u </w:t>
      </w:r>
      <w:bookmarkEnd w:id="0"/>
      <w:r w:rsidR="00570556" w:rsidRPr="00062468">
        <w:rPr>
          <w:rFonts w:ascii="Arial" w:hAnsi="Arial" w:cs="Arial"/>
          <w:i/>
          <w:iCs/>
        </w:rPr>
        <w:t>predizborno vrijeme.</w:t>
      </w:r>
    </w:p>
    <w:p w14:paraId="5F434E6B" w14:textId="6D8518D5" w:rsidR="0099143F" w:rsidRPr="001A1DEB" w:rsidRDefault="0099143F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  <w:bookmarkStart w:id="1" w:name="_Hlk160794313"/>
    </w:p>
    <w:p w14:paraId="26168C6E" w14:textId="77777777" w:rsidR="00914DD0" w:rsidRPr="001A1DEB" w:rsidRDefault="00914DD0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57A1832D" w14:textId="06C297F2" w:rsidR="00EB6972" w:rsidRPr="001A1DEB" w:rsidRDefault="00AF7043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1A1DEB">
        <w:rPr>
          <w:rFonts w:ascii="Arial" w:hAnsi="Arial" w:cs="Arial"/>
          <w:u w:color="000000"/>
        </w:rPr>
        <w:t xml:space="preserve">Vjerodostojno proračunsko planiranje </w:t>
      </w:r>
      <w:r w:rsidR="003D566C" w:rsidRPr="001A1DEB">
        <w:rPr>
          <w:rFonts w:ascii="Arial" w:hAnsi="Arial" w:cs="Arial"/>
          <w:u w:color="000000"/>
        </w:rPr>
        <w:t>ključno je za</w:t>
      </w:r>
      <w:r w:rsidR="006E2A93" w:rsidRPr="001A1DEB">
        <w:rPr>
          <w:rFonts w:ascii="Arial" w:hAnsi="Arial" w:cs="Arial"/>
          <w:u w:color="000000"/>
        </w:rPr>
        <w:t xml:space="preserve"> jačanje </w:t>
      </w:r>
      <w:r w:rsidRPr="001A1DEB">
        <w:rPr>
          <w:rFonts w:ascii="Arial" w:hAnsi="Arial" w:cs="Arial"/>
          <w:u w:color="000000"/>
        </w:rPr>
        <w:t>povjerenj</w:t>
      </w:r>
      <w:r w:rsidR="006E2A93" w:rsidRPr="001A1DEB">
        <w:rPr>
          <w:rFonts w:ascii="Arial" w:hAnsi="Arial" w:cs="Arial"/>
          <w:u w:color="000000"/>
        </w:rPr>
        <w:t>a</w:t>
      </w:r>
      <w:r w:rsidRPr="001A1DEB">
        <w:rPr>
          <w:rFonts w:ascii="Arial" w:hAnsi="Arial" w:cs="Arial"/>
          <w:u w:color="000000"/>
        </w:rPr>
        <w:t xml:space="preserve"> građana, odgovorno </w:t>
      </w:r>
      <w:r w:rsidR="003D566C" w:rsidRPr="001A1DEB">
        <w:rPr>
          <w:rFonts w:ascii="Arial" w:hAnsi="Arial" w:cs="Arial"/>
          <w:u w:color="000000"/>
        </w:rPr>
        <w:t xml:space="preserve">upravljanje </w:t>
      </w:r>
      <w:r w:rsidRPr="001A1DEB">
        <w:rPr>
          <w:rFonts w:ascii="Arial" w:hAnsi="Arial" w:cs="Arial"/>
          <w:u w:color="000000"/>
        </w:rPr>
        <w:t xml:space="preserve">javnim sredstvima te </w:t>
      </w:r>
      <w:r w:rsidR="003D566C" w:rsidRPr="001A1DEB">
        <w:rPr>
          <w:rFonts w:ascii="Arial" w:hAnsi="Arial" w:cs="Arial"/>
          <w:u w:color="000000"/>
        </w:rPr>
        <w:t xml:space="preserve">učinkovito </w:t>
      </w:r>
      <w:r w:rsidRPr="001A1DEB">
        <w:rPr>
          <w:rFonts w:ascii="Arial" w:hAnsi="Arial" w:cs="Arial"/>
          <w:u w:color="000000"/>
        </w:rPr>
        <w:t>i efikasno pružanj</w:t>
      </w:r>
      <w:r w:rsidR="003D566C" w:rsidRPr="001A1DEB">
        <w:rPr>
          <w:rFonts w:ascii="Arial" w:hAnsi="Arial" w:cs="Arial"/>
          <w:u w:color="000000"/>
        </w:rPr>
        <w:t>e</w:t>
      </w:r>
      <w:r w:rsidRPr="001A1DEB">
        <w:rPr>
          <w:rFonts w:ascii="Arial" w:hAnsi="Arial" w:cs="Arial"/>
          <w:u w:color="000000"/>
        </w:rPr>
        <w:t xml:space="preserve"> javnih usluga –</w:t>
      </w:r>
      <w:r w:rsidR="006E2A93" w:rsidRPr="001A1DEB">
        <w:rPr>
          <w:rFonts w:ascii="Arial" w:hAnsi="Arial" w:cs="Arial"/>
          <w:u w:color="000000"/>
        </w:rPr>
        <w:t xml:space="preserve"> odnosno </w:t>
      </w:r>
      <w:r w:rsidRPr="001A1DEB">
        <w:rPr>
          <w:rFonts w:ascii="Arial" w:hAnsi="Arial" w:cs="Arial"/>
          <w:u w:color="000000"/>
        </w:rPr>
        <w:t>ostvarivanj</w:t>
      </w:r>
      <w:r w:rsidR="006E2A93" w:rsidRPr="001A1DEB">
        <w:rPr>
          <w:rFonts w:ascii="Arial" w:hAnsi="Arial" w:cs="Arial"/>
          <w:u w:color="000000"/>
        </w:rPr>
        <w:t>e</w:t>
      </w:r>
      <w:r w:rsidRPr="001A1DEB">
        <w:rPr>
          <w:rFonts w:ascii="Arial" w:hAnsi="Arial" w:cs="Arial"/>
          <w:u w:color="000000"/>
        </w:rPr>
        <w:t xml:space="preserve"> ciljeva uz optimalno korištenje raspoloživih resursa. Ono podrazumijeva sposobnost lokalnih vlasti da tijekom fiskalne (kalendarske) godine ostvare planirane proračunske prihode i rashode u skladu s </w:t>
      </w:r>
      <w:r w:rsidR="00757AB7" w:rsidRPr="001A1DEB">
        <w:rPr>
          <w:rFonts w:ascii="Arial" w:hAnsi="Arial" w:cs="Arial"/>
          <w:u w:color="000000"/>
        </w:rPr>
        <w:t>usvojenim</w:t>
      </w:r>
      <w:r w:rsidRPr="001A1DEB">
        <w:rPr>
          <w:rFonts w:ascii="Arial" w:hAnsi="Arial" w:cs="Arial"/>
          <w:u w:color="000000"/>
        </w:rPr>
        <w:t xml:space="preserve"> planovima</w:t>
      </w:r>
      <w:r w:rsidR="00757AB7" w:rsidRPr="001A1DEB">
        <w:rPr>
          <w:rFonts w:ascii="Arial" w:hAnsi="Arial" w:cs="Arial"/>
          <w:u w:color="000000"/>
        </w:rPr>
        <w:t>,</w:t>
      </w:r>
      <w:r w:rsidR="006E2A93" w:rsidRPr="001A1DEB">
        <w:rPr>
          <w:rFonts w:ascii="Arial" w:hAnsi="Arial" w:cs="Arial"/>
          <w:u w:color="000000"/>
        </w:rPr>
        <w:t xml:space="preserve"> </w:t>
      </w:r>
      <w:r w:rsidRPr="001A1DEB">
        <w:rPr>
          <w:rFonts w:ascii="Arial" w:hAnsi="Arial" w:cs="Arial"/>
          <w:u w:color="000000"/>
        </w:rPr>
        <w:t>usmjeravajući sredstva prema dogovorenim prioritetima, javnim uslugama i održivom razvoju zajednice.</w:t>
      </w:r>
    </w:p>
    <w:p w14:paraId="4FC67103" w14:textId="77777777" w:rsidR="006E2A93" w:rsidRPr="001A1DEB" w:rsidRDefault="006E2A93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3806CE5B" w14:textId="19423BDD" w:rsidR="00EB6972" w:rsidRPr="001A1DEB" w:rsidRDefault="00092A71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Iako su</w:t>
      </w:r>
      <w:r w:rsidR="003F1EC8">
        <w:rPr>
          <w:rFonts w:ascii="Arial" w:hAnsi="Arial" w:cs="Arial"/>
          <w:u w:color="000000"/>
        </w:rPr>
        <w:t xml:space="preserve"> o</w:t>
      </w:r>
      <w:r w:rsidR="003F1EC8" w:rsidRPr="001A1DEB">
        <w:rPr>
          <w:rFonts w:ascii="Arial" w:hAnsi="Arial" w:cs="Arial"/>
          <w:u w:color="000000"/>
        </w:rPr>
        <w:t>dstupanja od planiranog proračuna ponekad neizbježna</w:t>
      </w:r>
      <w:r w:rsidR="003F1EC8">
        <w:rPr>
          <w:rFonts w:ascii="Arial" w:hAnsi="Arial" w:cs="Arial"/>
          <w:u w:color="000000"/>
        </w:rPr>
        <w:t xml:space="preserve"> –</w:t>
      </w:r>
      <w:r>
        <w:rPr>
          <w:rFonts w:ascii="Arial" w:hAnsi="Arial" w:cs="Arial"/>
          <w:u w:color="000000"/>
        </w:rPr>
        <w:t xml:space="preserve"> </w:t>
      </w:r>
      <w:r w:rsidR="005315E1">
        <w:rPr>
          <w:rFonts w:ascii="Arial" w:hAnsi="Arial" w:cs="Arial"/>
          <w:u w:color="000000"/>
        </w:rPr>
        <w:t>primjerice</w:t>
      </w:r>
      <w:r w:rsidR="003F1EC8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>zbog pandemije</w:t>
      </w:r>
      <w:r w:rsidR="003F1EC8">
        <w:rPr>
          <w:rFonts w:ascii="Arial" w:hAnsi="Arial" w:cs="Arial"/>
          <w:u w:color="000000"/>
        </w:rPr>
        <w:t xml:space="preserve"> ili recesije –</w:t>
      </w:r>
      <w:r>
        <w:rPr>
          <w:rFonts w:ascii="Arial" w:hAnsi="Arial" w:cs="Arial"/>
          <w:u w:color="000000"/>
        </w:rPr>
        <w:t xml:space="preserve"> </w:t>
      </w:r>
      <w:r w:rsidR="00C02A44" w:rsidRPr="001A1DEB">
        <w:rPr>
          <w:rFonts w:ascii="Arial" w:hAnsi="Arial" w:cs="Arial"/>
          <w:u w:color="000000"/>
        </w:rPr>
        <w:t xml:space="preserve">lokalne vlasti </w:t>
      </w:r>
      <w:r w:rsidR="003F1EC8">
        <w:rPr>
          <w:rFonts w:ascii="Arial" w:hAnsi="Arial" w:cs="Arial"/>
          <w:u w:color="000000"/>
        </w:rPr>
        <w:t>trebaju</w:t>
      </w:r>
      <w:r w:rsidR="00D7293E" w:rsidRPr="001A1DEB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 xml:space="preserve">ih </w:t>
      </w:r>
      <w:r w:rsidR="00D7293E" w:rsidRPr="001A1DEB">
        <w:rPr>
          <w:rFonts w:ascii="Arial" w:hAnsi="Arial" w:cs="Arial"/>
          <w:u w:color="000000"/>
        </w:rPr>
        <w:t xml:space="preserve">jasno </w:t>
      </w:r>
      <w:r w:rsidR="005315E1">
        <w:rPr>
          <w:rFonts w:ascii="Arial" w:hAnsi="Arial" w:cs="Arial"/>
          <w:u w:color="000000"/>
        </w:rPr>
        <w:t xml:space="preserve">obrazložiti </w:t>
      </w:r>
      <w:r w:rsidR="00D7293E" w:rsidRPr="001A1DEB">
        <w:rPr>
          <w:rFonts w:ascii="Arial" w:hAnsi="Arial" w:cs="Arial"/>
          <w:u w:color="000000"/>
        </w:rPr>
        <w:t>i</w:t>
      </w:r>
      <w:r w:rsidR="005315E1">
        <w:rPr>
          <w:rFonts w:ascii="Arial" w:hAnsi="Arial" w:cs="Arial"/>
          <w:u w:color="000000"/>
        </w:rPr>
        <w:t xml:space="preserve"> ukazati na</w:t>
      </w:r>
      <w:r w:rsidR="00D7293E" w:rsidRPr="001A1DEB">
        <w:rPr>
          <w:rFonts w:ascii="Arial" w:hAnsi="Arial" w:cs="Arial"/>
          <w:u w:color="000000"/>
        </w:rPr>
        <w:t xml:space="preserve"> njihov utjecaj </w:t>
      </w:r>
      <w:r w:rsidR="00FE7CD5">
        <w:rPr>
          <w:rFonts w:ascii="Arial" w:hAnsi="Arial" w:cs="Arial"/>
          <w:u w:color="000000"/>
        </w:rPr>
        <w:t>za</w:t>
      </w:r>
      <w:r w:rsidR="00FE7CD5" w:rsidRPr="001A1DEB">
        <w:rPr>
          <w:rFonts w:ascii="Arial" w:hAnsi="Arial" w:cs="Arial"/>
          <w:u w:color="000000"/>
        </w:rPr>
        <w:t xml:space="preserve"> </w:t>
      </w:r>
      <w:r w:rsidR="00D7293E" w:rsidRPr="001A1DEB">
        <w:rPr>
          <w:rFonts w:ascii="Arial" w:hAnsi="Arial" w:cs="Arial"/>
          <w:u w:color="000000"/>
        </w:rPr>
        <w:t xml:space="preserve">buduće </w:t>
      </w:r>
      <w:r w:rsidR="003F1EC8">
        <w:rPr>
          <w:rFonts w:ascii="Arial" w:hAnsi="Arial" w:cs="Arial"/>
          <w:u w:color="000000"/>
        </w:rPr>
        <w:t xml:space="preserve">proračunsko </w:t>
      </w:r>
      <w:r w:rsidR="00D7293E" w:rsidRPr="001A1DEB">
        <w:rPr>
          <w:rFonts w:ascii="Arial" w:hAnsi="Arial" w:cs="Arial"/>
          <w:u w:color="000000"/>
        </w:rPr>
        <w:t xml:space="preserve">planiranje. </w:t>
      </w:r>
      <w:r w:rsidR="00D7293E" w:rsidRPr="00C82621">
        <w:rPr>
          <w:rFonts w:ascii="Arial" w:hAnsi="Arial" w:cs="Arial"/>
          <w:u w:color="000000"/>
        </w:rPr>
        <w:t xml:space="preserve">U </w:t>
      </w:r>
      <w:r w:rsidR="00C02A44" w:rsidRPr="00C82621">
        <w:rPr>
          <w:rFonts w:ascii="Arial" w:hAnsi="Arial" w:cs="Arial"/>
          <w:u w:color="000000"/>
        </w:rPr>
        <w:t>godišnj</w:t>
      </w:r>
      <w:r w:rsidR="00D7293E" w:rsidRPr="00C82621">
        <w:rPr>
          <w:rFonts w:ascii="Arial" w:hAnsi="Arial" w:cs="Arial"/>
          <w:u w:color="000000"/>
        </w:rPr>
        <w:t>im</w:t>
      </w:r>
      <w:r w:rsidR="00C02A44" w:rsidRPr="00C82621">
        <w:rPr>
          <w:rFonts w:ascii="Arial" w:hAnsi="Arial" w:cs="Arial"/>
          <w:u w:color="000000"/>
        </w:rPr>
        <w:t xml:space="preserve"> izvješć</w:t>
      </w:r>
      <w:r w:rsidR="00D7293E" w:rsidRPr="00C82621">
        <w:rPr>
          <w:rFonts w:ascii="Arial" w:hAnsi="Arial" w:cs="Arial"/>
          <w:u w:color="000000"/>
        </w:rPr>
        <w:t xml:space="preserve">ima </w:t>
      </w:r>
      <w:r w:rsidR="005315E1" w:rsidRPr="00C82621">
        <w:rPr>
          <w:rFonts w:ascii="Arial" w:hAnsi="Arial" w:cs="Arial"/>
          <w:u w:color="000000"/>
        </w:rPr>
        <w:t xml:space="preserve">lokalne vlasti trebaju precizno navesti razloge zbog kojih </w:t>
      </w:r>
      <w:r w:rsidR="00C82621">
        <w:rPr>
          <w:rFonts w:ascii="Arial" w:hAnsi="Arial" w:cs="Arial"/>
          <w:u w:color="000000"/>
        </w:rPr>
        <w:t xml:space="preserve">dolazi do odstupanja </w:t>
      </w:r>
      <w:r w:rsidR="00C02A44" w:rsidRPr="00C82621">
        <w:rPr>
          <w:rFonts w:ascii="Arial" w:hAnsi="Arial" w:cs="Arial"/>
          <w:u w:color="000000"/>
        </w:rPr>
        <w:t>prihod</w:t>
      </w:r>
      <w:r w:rsidR="004E2E8A" w:rsidRPr="00B74687">
        <w:rPr>
          <w:rFonts w:ascii="Arial" w:hAnsi="Arial" w:cs="Arial"/>
          <w:u w:color="000000"/>
        </w:rPr>
        <w:t>a</w:t>
      </w:r>
      <w:r w:rsidR="00C02A44" w:rsidRPr="00C82621">
        <w:rPr>
          <w:rFonts w:ascii="Arial" w:hAnsi="Arial" w:cs="Arial"/>
          <w:u w:color="000000"/>
        </w:rPr>
        <w:t xml:space="preserve"> i/ili </w:t>
      </w:r>
      <w:r w:rsidR="004E2E8A" w:rsidRPr="00C82621">
        <w:rPr>
          <w:rFonts w:ascii="Arial" w:hAnsi="Arial" w:cs="Arial"/>
          <w:u w:color="000000"/>
        </w:rPr>
        <w:t>rashod</w:t>
      </w:r>
      <w:r w:rsidR="004E2E8A" w:rsidRPr="00B74687">
        <w:rPr>
          <w:rFonts w:ascii="Arial" w:hAnsi="Arial" w:cs="Arial"/>
          <w:u w:color="000000"/>
        </w:rPr>
        <w:t>a</w:t>
      </w:r>
      <w:r w:rsidR="004E2E8A" w:rsidRPr="00C82621">
        <w:rPr>
          <w:rFonts w:ascii="Arial" w:hAnsi="Arial" w:cs="Arial"/>
          <w:u w:color="000000"/>
        </w:rPr>
        <w:t xml:space="preserve"> </w:t>
      </w:r>
      <w:r w:rsidR="005315E1" w:rsidRPr="00C82621">
        <w:rPr>
          <w:rFonts w:ascii="Arial" w:hAnsi="Arial" w:cs="Arial"/>
          <w:u w:color="000000"/>
        </w:rPr>
        <w:t xml:space="preserve">od plana </w:t>
      </w:r>
      <w:r w:rsidR="003F1EC8" w:rsidRPr="00C82621">
        <w:rPr>
          <w:rFonts w:ascii="Arial" w:hAnsi="Arial" w:cs="Arial"/>
          <w:u w:color="000000"/>
        </w:rPr>
        <w:t xml:space="preserve">te </w:t>
      </w:r>
      <w:r w:rsidR="005315E1" w:rsidRPr="00C82621">
        <w:rPr>
          <w:rFonts w:ascii="Arial" w:hAnsi="Arial" w:cs="Arial"/>
          <w:u w:color="000000"/>
        </w:rPr>
        <w:t>po</w:t>
      </w:r>
      <w:r w:rsidR="003F1EC8" w:rsidRPr="00C82621">
        <w:rPr>
          <w:rFonts w:ascii="Arial" w:hAnsi="Arial" w:cs="Arial"/>
          <w:u w:color="000000"/>
        </w:rPr>
        <w:t xml:space="preserve">jasniti </w:t>
      </w:r>
      <w:r w:rsidR="005315E1" w:rsidRPr="00C82621">
        <w:rPr>
          <w:rFonts w:ascii="Arial" w:hAnsi="Arial" w:cs="Arial"/>
          <w:u w:color="000000"/>
        </w:rPr>
        <w:t>što će biti</w:t>
      </w:r>
      <w:r w:rsidR="003F1EC8" w:rsidRPr="00C82621">
        <w:rPr>
          <w:rFonts w:ascii="Arial" w:hAnsi="Arial" w:cs="Arial"/>
          <w:u w:color="000000"/>
        </w:rPr>
        <w:t xml:space="preserve"> </w:t>
      </w:r>
      <w:r w:rsidR="00D7293E" w:rsidRPr="00C82621">
        <w:rPr>
          <w:rFonts w:ascii="Arial" w:hAnsi="Arial" w:cs="Arial"/>
          <w:u w:color="000000"/>
        </w:rPr>
        <w:t>s</w:t>
      </w:r>
      <w:r w:rsidR="00C02A44" w:rsidRPr="00C82621">
        <w:rPr>
          <w:rFonts w:ascii="Arial" w:hAnsi="Arial" w:cs="Arial"/>
          <w:u w:color="000000"/>
        </w:rPr>
        <w:t xml:space="preserve"> neostvarenim iznosima u sljedećim </w:t>
      </w:r>
      <w:r w:rsidR="00DF6830" w:rsidRPr="00C82621">
        <w:rPr>
          <w:rFonts w:ascii="Arial" w:hAnsi="Arial" w:cs="Arial"/>
          <w:u w:color="000000"/>
        </w:rPr>
        <w:t>razdobljima</w:t>
      </w:r>
      <w:r w:rsidR="00C02A44" w:rsidRPr="00C82621">
        <w:rPr>
          <w:rFonts w:ascii="Arial" w:hAnsi="Arial" w:cs="Arial"/>
          <w:u w:color="000000"/>
        </w:rPr>
        <w:t>.</w:t>
      </w:r>
      <w:r w:rsidR="00C02A44" w:rsidRPr="001A1DEB">
        <w:rPr>
          <w:rFonts w:ascii="Arial" w:hAnsi="Arial" w:cs="Arial"/>
          <w:u w:color="000000"/>
        </w:rPr>
        <w:t xml:space="preserve"> </w:t>
      </w:r>
      <w:r w:rsidR="003F1EC8" w:rsidRPr="003F1EC8">
        <w:rPr>
          <w:rFonts w:ascii="Arial" w:hAnsi="Arial" w:cs="Arial"/>
          <w:u w:color="000000"/>
        </w:rPr>
        <w:t>Takva odstupanja mogu</w:t>
      </w:r>
      <w:r w:rsidR="005315E1">
        <w:rPr>
          <w:rFonts w:ascii="Arial" w:hAnsi="Arial" w:cs="Arial"/>
          <w:u w:color="000000"/>
        </w:rPr>
        <w:t xml:space="preserve"> proizlaziti iz izvanrednih okolnosti, ali i upućivati na nedostatke u </w:t>
      </w:r>
      <w:r w:rsidR="003F1EC8" w:rsidRPr="003F1EC8">
        <w:rPr>
          <w:rFonts w:ascii="Arial" w:hAnsi="Arial" w:cs="Arial"/>
          <w:u w:color="000000"/>
        </w:rPr>
        <w:t>planiranj</w:t>
      </w:r>
      <w:r w:rsidR="005315E1">
        <w:rPr>
          <w:rFonts w:ascii="Arial" w:hAnsi="Arial" w:cs="Arial"/>
          <w:u w:color="000000"/>
        </w:rPr>
        <w:t>u</w:t>
      </w:r>
      <w:r w:rsidR="003F1EC8" w:rsidRPr="003F1EC8">
        <w:rPr>
          <w:rFonts w:ascii="Arial" w:hAnsi="Arial" w:cs="Arial"/>
          <w:u w:color="000000"/>
        </w:rPr>
        <w:t xml:space="preserve"> ili </w:t>
      </w:r>
      <w:r w:rsidR="005315E1">
        <w:rPr>
          <w:rFonts w:ascii="Arial" w:hAnsi="Arial" w:cs="Arial"/>
          <w:u w:color="000000"/>
        </w:rPr>
        <w:t xml:space="preserve">na </w:t>
      </w:r>
      <w:r w:rsidR="003F1EC8" w:rsidRPr="003F1EC8">
        <w:rPr>
          <w:rFonts w:ascii="Arial" w:hAnsi="Arial" w:cs="Arial"/>
          <w:u w:color="000000"/>
        </w:rPr>
        <w:t>svjesn</w:t>
      </w:r>
      <w:r w:rsidR="005315E1">
        <w:rPr>
          <w:rFonts w:ascii="Arial" w:hAnsi="Arial" w:cs="Arial"/>
          <w:u w:color="000000"/>
        </w:rPr>
        <w:t>e</w:t>
      </w:r>
      <w:r w:rsidR="003F1EC8" w:rsidRPr="003F1EC8">
        <w:rPr>
          <w:rFonts w:ascii="Arial" w:hAnsi="Arial" w:cs="Arial"/>
          <w:u w:color="000000"/>
        </w:rPr>
        <w:t xml:space="preserve"> političk</w:t>
      </w:r>
      <w:r w:rsidR="005315E1">
        <w:rPr>
          <w:rFonts w:ascii="Arial" w:hAnsi="Arial" w:cs="Arial"/>
          <w:u w:color="000000"/>
        </w:rPr>
        <w:t>e</w:t>
      </w:r>
      <w:r w:rsidR="003F1EC8" w:rsidRPr="003F1EC8">
        <w:rPr>
          <w:rFonts w:ascii="Arial" w:hAnsi="Arial" w:cs="Arial"/>
          <w:u w:color="000000"/>
        </w:rPr>
        <w:t xml:space="preserve"> odluk</w:t>
      </w:r>
      <w:r w:rsidR="005315E1">
        <w:rPr>
          <w:rFonts w:ascii="Arial" w:hAnsi="Arial" w:cs="Arial"/>
          <w:u w:color="000000"/>
        </w:rPr>
        <w:t>e</w:t>
      </w:r>
      <w:r w:rsidR="003F1EC8" w:rsidRPr="003F1EC8">
        <w:rPr>
          <w:rFonts w:ascii="Arial" w:hAnsi="Arial" w:cs="Arial"/>
          <w:u w:color="000000"/>
        </w:rPr>
        <w:t>, osobito u</w:t>
      </w:r>
      <w:r w:rsidR="005315E1">
        <w:rPr>
          <w:rFonts w:ascii="Arial" w:hAnsi="Arial" w:cs="Arial"/>
          <w:u w:color="000000"/>
        </w:rPr>
        <w:t>oči izbora</w:t>
      </w:r>
      <w:r w:rsidR="003F1EC8" w:rsidRPr="003F1EC8">
        <w:rPr>
          <w:rFonts w:ascii="Arial" w:hAnsi="Arial" w:cs="Arial"/>
          <w:u w:color="000000"/>
        </w:rPr>
        <w:t>.</w:t>
      </w:r>
    </w:p>
    <w:p w14:paraId="6B221DF0" w14:textId="77777777" w:rsidR="00C02A44" w:rsidRPr="001A1DEB" w:rsidRDefault="00C02A44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2DFB0DFD" w14:textId="00194805" w:rsidR="00C02A44" w:rsidRPr="001A1DEB" w:rsidRDefault="003D566C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1A1DEB">
        <w:rPr>
          <w:rFonts w:ascii="Arial" w:hAnsi="Arial" w:cs="Arial"/>
          <w:u w:color="000000"/>
        </w:rPr>
        <w:t xml:space="preserve">Usporedna analiza </w:t>
      </w:r>
      <w:r w:rsidR="00C02A44" w:rsidRPr="001A1DEB">
        <w:rPr>
          <w:rFonts w:ascii="Arial" w:hAnsi="Arial" w:cs="Arial"/>
          <w:u w:color="000000"/>
        </w:rPr>
        <w:t xml:space="preserve">planiranih i ostvarenih prihoda i rashoda lokalnih jedinica u Hrvatskoj i Sloveniji za 2023. pokazuje da slovenske lokalne vlasti u prosjeku </w:t>
      </w:r>
      <w:r w:rsidRPr="001A1DEB">
        <w:rPr>
          <w:rFonts w:ascii="Arial" w:hAnsi="Arial" w:cs="Arial"/>
          <w:u w:color="000000"/>
        </w:rPr>
        <w:t xml:space="preserve">realnije </w:t>
      </w:r>
      <w:r w:rsidR="00C02A44" w:rsidRPr="001A1DEB">
        <w:rPr>
          <w:rFonts w:ascii="Arial" w:hAnsi="Arial" w:cs="Arial"/>
          <w:u w:color="000000"/>
        </w:rPr>
        <w:t xml:space="preserve">planiraju proračun </w:t>
      </w:r>
      <w:r w:rsidR="005315E1">
        <w:rPr>
          <w:rFonts w:ascii="Arial" w:hAnsi="Arial" w:cs="Arial"/>
          <w:u w:color="000000"/>
        </w:rPr>
        <w:t>od hrvatskih</w:t>
      </w:r>
      <w:r w:rsidR="00C02A44" w:rsidRPr="001A1DEB">
        <w:rPr>
          <w:rFonts w:ascii="Arial" w:hAnsi="Arial" w:cs="Arial"/>
          <w:u w:color="000000"/>
        </w:rPr>
        <w:t>.</w:t>
      </w:r>
      <w:r w:rsidR="00333FFF">
        <w:rPr>
          <w:rFonts w:ascii="Arial" w:hAnsi="Arial" w:cs="Arial"/>
          <w:u w:color="000000"/>
        </w:rPr>
        <w:t xml:space="preserve"> </w:t>
      </w:r>
      <w:r w:rsidR="009C39DB">
        <w:rPr>
          <w:rFonts w:ascii="Arial" w:hAnsi="Arial" w:cs="Arial"/>
          <w:u w:color="000000"/>
        </w:rPr>
        <w:t>U obje zemlje, n</w:t>
      </w:r>
      <w:r w:rsidR="00333FFF" w:rsidRPr="00333FFF">
        <w:rPr>
          <w:rFonts w:ascii="Arial" w:hAnsi="Arial" w:cs="Arial"/>
          <w:u w:color="000000"/>
        </w:rPr>
        <w:t xml:space="preserve">ajveća </w:t>
      </w:r>
      <w:r w:rsidR="009C39DB">
        <w:rPr>
          <w:rFonts w:ascii="Arial" w:hAnsi="Arial" w:cs="Arial"/>
          <w:u w:color="000000"/>
        </w:rPr>
        <w:t xml:space="preserve">su </w:t>
      </w:r>
      <w:r w:rsidR="00333FFF" w:rsidRPr="00333FFF">
        <w:rPr>
          <w:rFonts w:ascii="Arial" w:hAnsi="Arial" w:cs="Arial"/>
          <w:u w:color="000000"/>
        </w:rPr>
        <w:t>odstupanja</w:t>
      </w:r>
      <w:r w:rsidR="009C39DB">
        <w:rPr>
          <w:rFonts w:ascii="Arial" w:hAnsi="Arial" w:cs="Arial"/>
          <w:u w:color="000000"/>
        </w:rPr>
        <w:t xml:space="preserve"> </w:t>
      </w:r>
      <w:r w:rsidR="00333FFF" w:rsidRPr="00333FFF">
        <w:rPr>
          <w:rFonts w:ascii="Arial" w:hAnsi="Arial" w:cs="Arial"/>
          <w:u w:color="000000"/>
        </w:rPr>
        <w:t xml:space="preserve">prihoda </w:t>
      </w:r>
      <w:r w:rsidR="009C39DB">
        <w:rPr>
          <w:rFonts w:ascii="Arial" w:hAnsi="Arial" w:cs="Arial"/>
          <w:u w:color="000000"/>
        </w:rPr>
        <w:t xml:space="preserve">od </w:t>
      </w:r>
      <w:r w:rsidR="00333FFF" w:rsidRPr="00333FFF">
        <w:rPr>
          <w:rFonts w:ascii="Arial" w:hAnsi="Arial" w:cs="Arial"/>
          <w:u w:color="000000"/>
        </w:rPr>
        <w:t>nefinancijsk</w:t>
      </w:r>
      <w:r w:rsidR="009C39DB">
        <w:rPr>
          <w:rFonts w:ascii="Arial" w:hAnsi="Arial" w:cs="Arial"/>
          <w:u w:color="000000"/>
        </w:rPr>
        <w:t>e</w:t>
      </w:r>
      <w:r w:rsidR="00333FFF" w:rsidRPr="00333FFF">
        <w:rPr>
          <w:rFonts w:ascii="Arial" w:hAnsi="Arial" w:cs="Arial"/>
          <w:u w:color="000000"/>
        </w:rPr>
        <w:t xml:space="preserve"> imovin</w:t>
      </w:r>
      <w:r w:rsidR="009C39DB">
        <w:rPr>
          <w:rFonts w:ascii="Arial" w:hAnsi="Arial" w:cs="Arial"/>
          <w:u w:color="000000"/>
        </w:rPr>
        <w:t>e</w:t>
      </w:r>
      <w:r w:rsidR="00333FFF" w:rsidRPr="00333FFF">
        <w:rPr>
          <w:rFonts w:ascii="Arial" w:hAnsi="Arial" w:cs="Arial"/>
          <w:u w:color="000000"/>
        </w:rPr>
        <w:t xml:space="preserve"> </w:t>
      </w:r>
      <w:r w:rsidR="009C39DB">
        <w:rPr>
          <w:rFonts w:ascii="Arial" w:hAnsi="Arial" w:cs="Arial"/>
          <w:u w:color="000000"/>
        </w:rPr>
        <w:t>(oko 70%) i</w:t>
      </w:r>
      <w:r w:rsidR="00333FFF" w:rsidRPr="00333FFF">
        <w:rPr>
          <w:rFonts w:ascii="Arial" w:hAnsi="Arial" w:cs="Arial"/>
          <w:u w:color="000000"/>
        </w:rPr>
        <w:t xml:space="preserve"> prihoda od pomoći</w:t>
      </w:r>
      <w:r w:rsidR="009C39DB">
        <w:rPr>
          <w:rFonts w:ascii="Arial" w:hAnsi="Arial" w:cs="Arial"/>
          <w:u w:color="000000"/>
        </w:rPr>
        <w:t xml:space="preserve"> (oko 44%)</w:t>
      </w:r>
      <w:r w:rsidR="007534D7">
        <w:rPr>
          <w:rFonts w:ascii="Arial" w:hAnsi="Arial" w:cs="Arial"/>
          <w:u w:color="000000"/>
        </w:rPr>
        <w:t xml:space="preserve">, </w:t>
      </w:r>
      <w:r w:rsidR="007534D7" w:rsidRPr="007534D7">
        <w:rPr>
          <w:rFonts w:ascii="Arial" w:hAnsi="Arial" w:cs="Arial"/>
          <w:u w:color="000000"/>
        </w:rPr>
        <w:t>osobito u manjim općinama i gradovima.</w:t>
      </w:r>
      <w:r w:rsidR="009C39DB">
        <w:rPr>
          <w:rFonts w:ascii="Arial" w:hAnsi="Arial" w:cs="Arial"/>
          <w:u w:color="000000"/>
        </w:rPr>
        <w:t xml:space="preserve"> </w:t>
      </w:r>
      <w:r w:rsidR="007534D7">
        <w:rPr>
          <w:rFonts w:ascii="Arial" w:hAnsi="Arial" w:cs="Arial"/>
          <w:u w:color="000000"/>
        </w:rPr>
        <w:t>Istodobno</w:t>
      </w:r>
      <w:r w:rsidR="00241715">
        <w:rPr>
          <w:rFonts w:ascii="Arial" w:hAnsi="Arial" w:cs="Arial"/>
          <w:u w:color="000000"/>
        </w:rPr>
        <w:t>, l</w:t>
      </w:r>
      <w:r w:rsidR="00B92FD9">
        <w:rPr>
          <w:rFonts w:ascii="Arial" w:hAnsi="Arial" w:cs="Arial"/>
          <w:u w:color="000000"/>
        </w:rPr>
        <w:t xml:space="preserve">okalne jedinice s više od 35.000 stanovnika </w:t>
      </w:r>
      <w:r w:rsidR="007534D7">
        <w:rPr>
          <w:rFonts w:ascii="Arial" w:hAnsi="Arial" w:cs="Arial"/>
          <w:u w:color="000000"/>
        </w:rPr>
        <w:t xml:space="preserve">u pravilu </w:t>
      </w:r>
      <w:r w:rsidR="00241715">
        <w:rPr>
          <w:rFonts w:ascii="Arial" w:hAnsi="Arial" w:cs="Arial"/>
          <w:u w:color="000000"/>
        </w:rPr>
        <w:t>ostvaruju najniža</w:t>
      </w:r>
      <w:r w:rsidR="00B92FD9">
        <w:rPr>
          <w:rFonts w:ascii="Arial" w:hAnsi="Arial" w:cs="Arial"/>
          <w:u w:color="000000"/>
        </w:rPr>
        <w:t xml:space="preserve"> odstupanja prihoda i rashoda.</w:t>
      </w:r>
      <w:r w:rsidR="00C02A44" w:rsidRPr="001A1DEB">
        <w:rPr>
          <w:rFonts w:ascii="Arial" w:hAnsi="Arial" w:cs="Arial"/>
          <w:u w:color="000000"/>
        </w:rPr>
        <w:t xml:space="preserve"> U Sloveniji su najmanja odstupanja vidljiva kod poreznih prihoda</w:t>
      </w:r>
      <w:r w:rsidR="007534D7">
        <w:rPr>
          <w:rFonts w:ascii="Arial" w:hAnsi="Arial" w:cs="Arial"/>
          <w:u w:color="000000"/>
        </w:rPr>
        <w:t xml:space="preserve"> (3%)</w:t>
      </w:r>
      <w:r w:rsidR="00C02A44" w:rsidRPr="001A1DEB">
        <w:rPr>
          <w:rFonts w:ascii="Arial" w:hAnsi="Arial" w:cs="Arial"/>
          <w:u w:color="000000"/>
        </w:rPr>
        <w:t>, dok su u Hrvatskoj najmanj</w:t>
      </w:r>
      <w:r w:rsidR="000412AB">
        <w:rPr>
          <w:rFonts w:ascii="Arial" w:hAnsi="Arial" w:cs="Arial"/>
          <w:u w:color="000000"/>
        </w:rPr>
        <w:t xml:space="preserve">a odstupanja </w:t>
      </w:r>
      <w:r w:rsidR="00052CB3" w:rsidRPr="001A1DEB">
        <w:rPr>
          <w:rFonts w:ascii="Arial" w:hAnsi="Arial" w:cs="Arial"/>
          <w:u w:color="000000"/>
        </w:rPr>
        <w:t>rashoda</w:t>
      </w:r>
      <w:r w:rsidR="00C02A44" w:rsidRPr="001A1DEB">
        <w:rPr>
          <w:rFonts w:ascii="Arial" w:hAnsi="Arial" w:cs="Arial"/>
          <w:u w:color="000000"/>
        </w:rPr>
        <w:t xml:space="preserve"> poslovanja</w:t>
      </w:r>
      <w:r w:rsidR="007534D7">
        <w:rPr>
          <w:rFonts w:ascii="Arial" w:hAnsi="Arial" w:cs="Arial"/>
          <w:u w:color="000000"/>
        </w:rPr>
        <w:t xml:space="preserve"> (18%)</w:t>
      </w:r>
      <w:r w:rsidR="00C02A44" w:rsidRPr="001A1DEB">
        <w:rPr>
          <w:rFonts w:ascii="Arial" w:hAnsi="Arial" w:cs="Arial"/>
          <w:u w:color="000000"/>
        </w:rPr>
        <w:t>.</w:t>
      </w:r>
      <w:r w:rsidR="00DE6336">
        <w:rPr>
          <w:rFonts w:ascii="Arial" w:hAnsi="Arial" w:cs="Arial"/>
          <w:u w:color="000000"/>
        </w:rPr>
        <w:t xml:space="preserve"> </w:t>
      </w:r>
      <w:r w:rsidR="00DE6336" w:rsidRPr="00DE6336">
        <w:rPr>
          <w:rFonts w:ascii="Arial" w:hAnsi="Arial" w:cs="Arial"/>
          <w:u w:color="000000"/>
        </w:rPr>
        <w:t xml:space="preserve">Zabrinjavajuće je da je tek 16% svih promatranih lokalnih jedinica uspjelo zadržati odstupanja ukupnih prihoda unutar prihvatljivih 5%, a još </w:t>
      </w:r>
      <w:r w:rsidR="00FE7CD5">
        <w:rPr>
          <w:rFonts w:ascii="Arial" w:hAnsi="Arial" w:cs="Arial"/>
          <w:u w:color="000000"/>
        </w:rPr>
        <w:t xml:space="preserve">i </w:t>
      </w:r>
      <w:r w:rsidR="00DE6336" w:rsidRPr="00DE6336">
        <w:rPr>
          <w:rFonts w:ascii="Arial" w:hAnsi="Arial" w:cs="Arial"/>
          <w:u w:color="000000"/>
        </w:rPr>
        <w:t>manje – samo 10% – kad</w:t>
      </w:r>
      <w:r w:rsidR="00C82621">
        <w:rPr>
          <w:rFonts w:ascii="Arial" w:hAnsi="Arial" w:cs="Arial"/>
          <w:u w:color="000000"/>
        </w:rPr>
        <w:t>a</w:t>
      </w:r>
      <w:r w:rsidR="00DE6336" w:rsidRPr="00DE6336">
        <w:rPr>
          <w:rFonts w:ascii="Arial" w:hAnsi="Arial" w:cs="Arial"/>
          <w:u w:color="000000"/>
        </w:rPr>
        <w:t xml:space="preserve"> je riječ o rashodima. </w:t>
      </w:r>
      <w:r w:rsidR="004E2E8A">
        <w:rPr>
          <w:rFonts w:ascii="Arial" w:hAnsi="Arial" w:cs="Arial"/>
          <w:u w:color="000000"/>
        </w:rPr>
        <w:t>P</w:t>
      </w:r>
      <w:r w:rsidR="00DE6336" w:rsidRPr="00DE6336">
        <w:rPr>
          <w:rFonts w:ascii="Arial" w:hAnsi="Arial" w:cs="Arial"/>
          <w:u w:color="000000"/>
        </w:rPr>
        <w:t>ritom su slovenske jedinice češće unutar tih granica nego hrvatske.</w:t>
      </w:r>
    </w:p>
    <w:p w14:paraId="13547ACE" w14:textId="14C19BC2" w:rsidR="00C02A44" w:rsidRPr="001A1DEB" w:rsidRDefault="00C02A44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2AF7E6C9" w14:textId="25294C94" w:rsidR="00C02A44" w:rsidRPr="001A1DEB" w:rsidRDefault="00C02A44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1A1DEB">
        <w:rPr>
          <w:rFonts w:ascii="Arial" w:hAnsi="Arial" w:cs="Arial"/>
          <w:u w:color="000000"/>
        </w:rPr>
        <w:lastRenderedPageBreak/>
        <w:t>Na razinu</w:t>
      </w:r>
      <w:r w:rsidR="00DE6336">
        <w:rPr>
          <w:rFonts w:ascii="Arial" w:hAnsi="Arial" w:cs="Arial"/>
          <w:u w:color="000000"/>
        </w:rPr>
        <w:t xml:space="preserve"> proračunskih</w:t>
      </w:r>
      <w:r w:rsidRPr="001A1DEB">
        <w:rPr>
          <w:rFonts w:ascii="Arial" w:hAnsi="Arial" w:cs="Arial"/>
          <w:u w:color="000000"/>
        </w:rPr>
        <w:t xml:space="preserve"> odstupanja utječu i ekonomski i politički čimbenici</w:t>
      </w:r>
      <w:r w:rsidR="000E072F" w:rsidRPr="001A1DEB">
        <w:rPr>
          <w:rFonts w:ascii="Arial" w:hAnsi="Arial" w:cs="Arial"/>
          <w:u w:color="000000"/>
        </w:rPr>
        <w:t xml:space="preserve"> – primjerice</w:t>
      </w:r>
      <w:r w:rsidRPr="001A1DEB">
        <w:rPr>
          <w:rFonts w:ascii="Arial" w:hAnsi="Arial" w:cs="Arial"/>
          <w:u w:color="000000"/>
        </w:rPr>
        <w:t>, veći broj stanovnika, viši prosječni dohodak, snažniji fiskalni kapacitet i niža stopa nezaposlenosti povezani su s manjim odstupanjima proračun</w:t>
      </w:r>
      <w:r w:rsidR="00294775" w:rsidRPr="001A1DEB">
        <w:rPr>
          <w:rFonts w:ascii="Arial" w:hAnsi="Arial" w:cs="Arial"/>
          <w:u w:color="000000"/>
        </w:rPr>
        <w:t>a</w:t>
      </w:r>
      <w:r w:rsidR="000E072F" w:rsidRPr="001A1DEB">
        <w:rPr>
          <w:rFonts w:ascii="Arial" w:hAnsi="Arial" w:cs="Arial"/>
          <w:u w:color="000000"/>
        </w:rPr>
        <w:t xml:space="preserve">, dok </w:t>
      </w:r>
      <w:r w:rsidRPr="001A1DEB">
        <w:rPr>
          <w:rFonts w:ascii="Arial" w:hAnsi="Arial" w:cs="Arial"/>
          <w:u w:color="000000"/>
        </w:rPr>
        <w:t>politička stabilnost i manja rascjepkanost vlasti pridonos</w:t>
      </w:r>
      <w:r w:rsidR="000E072F" w:rsidRPr="001A1DEB">
        <w:rPr>
          <w:rFonts w:ascii="Arial" w:hAnsi="Arial" w:cs="Arial"/>
          <w:u w:color="000000"/>
        </w:rPr>
        <w:t>i</w:t>
      </w:r>
      <w:r w:rsidRPr="001A1DEB">
        <w:rPr>
          <w:rFonts w:ascii="Arial" w:hAnsi="Arial" w:cs="Arial"/>
          <w:u w:color="000000"/>
        </w:rPr>
        <w:t xml:space="preserve"> preciznijem planiranju proračuna. </w:t>
      </w:r>
      <w:r w:rsidR="000E072F" w:rsidRPr="001A1DEB">
        <w:rPr>
          <w:rFonts w:ascii="Arial" w:hAnsi="Arial" w:cs="Arial"/>
          <w:u w:color="000000"/>
        </w:rPr>
        <w:t>Istodobno, v</w:t>
      </w:r>
      <w:r w:rsidRPr="001A1DEB">
        <w:rPr>
          <w:rFonts w:ascii="Arial" w:hAnsi="Arial" w:cs="Arial"/>
          <w:u w:color="000000"/>
        </w:rPr>
        <w:t>isoka stopa reizbora političara u obje zemlje može ukazivati na političk</w:t>
      </w:r>
      <w:r w:rsidR="000E072F" w:rsidRPr="001A1DEB">
        <w:rPr>
          <w:rFonts w:ascii="Arial" w:hAnsi="Arial" w:cs="Arial"/>
          <w:u w:color="000000"/>
        </w:rPr>
        <w:t>e</w:t>
      </w:r>
      <w:r w:rsidRPr="001A1DEB">
        <w:rPr>
          <w:rFonts w:ascii="Arial" w:hAnsi="Arial" w:cs="Arial"/>
          <w:u w:color="000000"/>
        </w:rPr>
        <w:t xml:space="preserve"> motiv</w:t>
      </w:r>
      <w:r w:rsidR="000E072F" w:rsidRPr="001A1DEB">
        <w:rPr>
          <w:rFonts w:ascii="Arial" w:hAnsi="Arial" w:cs="Arial"/>
          <w:u w:color="000000"/>
        </w:rPr>
        <w:t>e</w:t>
      </w:r>
      <w:r w:rsidRPr="001A1DEB">
        <w:rPr>
          <w:rFonts w:ascii="Arial" w:hAnsi="Arial" w:cs="Arial"/>
          <w:u w:color="000000"/>
        </w:rPr>
        <w:t xml:space="preserve"> – osobito u predizbornim razdobljima – koji </w:t>
      </w:r>
      <w:r w:rsidR="00DE6336">
        <w:rPr>
          <w:rFonts w:ascii="Arial" w:hAnsi="Arial" w:cs="Arial"/>
          <w:u w:color="000000"/>
        </w:rPr>
        <w:t xml:space="preserve">dovode do </w:t>
      </w:r>
      <w:r w:rsidRPr="001A1DEB">
        <w:rPr>
          <w:rFonts w:ascii="Arial" w:hAnsi="Arial" w:cs="Arial"/>
          <w:u w:color="000000"/>
        </w:rPr>
        <w:t>optimističn</w:t>
      </w:r>
      <w:r w:rsidR="00DE6336">
        <w:rPr>
          <w:rFonts w:ascii="Arial" w:hAnsi="Arial" w:cs="Arial"/>
          <w:u w:color="000000"/>
        </w:rPr>
        <w:t>ijih</w:t>
      </w:r>
      <w:r w:rsidRPr="001A1DEB">
        <w:rPr>
          <w:rFonts w:ascii="Arial" w:hAnsi="Arial" w:cs="Arial"/>
          <w:u w:color="000000"/>
        </w:rPr>
        <w:t xml:space="preserve"> i manje realističn</w:t>
      </w:r>
      <w:r w:rsidR="00DE6336">
        <w:rPr>
          <w:rFonts w:ascii="Arial" w:hAnsi="Arial" w:cs="Arial"/>
          <w:u w:color="000000"/>
        </w:rPr>
        <w:t>ih</w:t>
      </w:r>
      <w:r w:rsidRPr="001A1DEB">
        <w:rPr>
          <w:rFonts w:ascii="Arial" w:hAnsi="Arial" w:cs="Arial"/>
          <w:u w:color="000000"/>
        </w:rPr>
        <w:t xml:space="preserve"> proračuna.</w:t>
      </w:r>
    </w:p>
    <w:p w14:paraId="5C78493B" w14:textId="77777777" w:rsidR="00AB1C3D" w:rsidRPr="001A1DEB" w:rsidRDefault="00AB1C3D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2FDB53FD" w14:textId="67740BB2" w:rsidR="00AB1C3D" w:rsidRPr="00DE6336" w:rsidRDefault="00AB1C3D" w:rsidP="00683047">
      <w:pPr>
        <w:spacing w:after="0" w:line="300" w:lineRule="atLeast"/>
        <w:jc w:val="both"/>
        <w:rPr>
          <w:rFonts w:ascii="Arial" w:hAnsi="Arial" w:cs="Arial"/>
        </w:rPr>
      </w:pPr>
      <w:r w:rsidRPr="001A1DEB">
        <w:rPr>
          <w:rFonts w:ascii="Arial" w:hAnsi="Arial" w:cs="Arial"/>
        </w:rPr>
        <w:t>Autorica sažima</w:t>
      </w:r>
      <w:r w:rsidR="00DE6336">
        <w:rPr>
          <w:rFonts w:ascii="Arial" w:hAnsi="Arial" w:cs="Arial"/>
        </w:rPr>
        <w:t xml:space="preserve"> niz</w:t>
      </w:r>
      <w:r w:rsidRPr="001A1DEB">
        <w:rPr>
          <w:rFonts w:ascii="Arial" w:hAnsi="Arial" w:cs="Arial"/>
        </w:rPr>
        <w:t xml:space="preserve"> p</w:t>
      </w:r>
      <w:r w:rsidR="007408EC" w:rsidRPr="001A1DEB">
        <w:rPr>
          <w:rFonts w:ascii="Arial" w:hAnsi="Arial" w:cs="Arial"/>
        </w:rPr>
        <w:t>reporuk</w:t>
      </w:r>
      <w:r w:rsidR="00DE6336">
        <w:rPr>
          <w:rFonts w:ascii="Arial" w:hAnsi="Arial" w:cs="Arial"/>
        </w:rPr>
        <w:t>a</w:t>
      </w:r>
      <w:r w:rsidR="007408EC" w:rsidRPr="001A1DEB">
        <w:rPr>
          <w:rFonts w:ascii="Arial" w:hAnsi="Arial" w:cs="Arial"/>
        </w:rPr>
        <w:t xml:space="preserve"> nositeljima politika </w:t>
      </w:r>
      <w:r w:rsidRPr="001A1DEB">
        <w:rPr>
          <w:rFonts w:ascii="Arial" w:hAnsi="Arial" w:cs="Arial"/>
        </w:rPr>
        <w:t>za unaprjeđenje vjerodostojnosti proračuna</w:t>
      </w:r>
      <w:r w:rsidR="00DE6336">
        <w:rPr>
          <w:rFonts w:ascii="Arial" w:hAnsi="Arial" w:cs="Arial"/>
        </w:rPr>
        <w:t xml:space="preserve">, uključujući </w:t>
      </w:r>
      <w:r w:rsidRPr="007408EC">
        <w:rPr>
          <w:rFonts w:ascii="Arial" w:eastAsia="Times New Roman" w:hAnsi="Arial" w:cs="Arial"/>
          <w:lang w:eastAsia="hr-HR"/>
        </w:rPr>
        <w:t>jasn</w:t>
      </w:r>
      <w:r w:rsidR="00DE6336">
        <w:rPr>
          <w:rFonts w:ascii="Arial" w:eastAsia="Times New Roman" w:hAnsi="Arial" w:cs="Arial"/>
          <w:lang w:eastAsia="hr-HR"/>
        </w:rPr>
        <w:t>ije</w:t>
      </w:r>
      <w:r w:rsidRPr="007408EC">
        <w:rPr>
          <w:rFonts w:ascii="Arial" w:eastAsia="Times New Roman" w:hAnsi="Arial" w:cs="Arial"/>
          <w:lang w:eastAsia="hr-HR"/>
        </w:rPr>
        <w:t xml:space="preserve"> izvještava</w:t>
      </w:r>
      <w:r w:rsidRPr="001A1DEB">
        <w:rPr>
          <w:rFonts w:ascii="Arial" w:eastAsia="Times New Roman" w:hAnsi="Arial" w:cs="Arial"/>
          <w:lang w:eastAsia="hr-HR"/>
        </w:rPr>
        <w:t>nje</w:t>
      </w:r>
      <w:r w:rsidRPr="007408EC">
        <w:rPr>
          <w:rFonts w:ascii="Arial" w:eastAsia="Times New Roman" w:hAnsi="Arial" w:cs="Arial"/>
          <w:lang w:eastAsia="hr-HR"/>
        </w:rPr>
        <w:t xml:space="preserve"> o odstupanjima i njihovim uzrocima</w:t>
      </w:r>
      <w:r w:rsidR="00670288" w:rsidRPr="001A1DEB">
        <w:rPr>
          <w:rFonts w:ascii="Arial" w:eastAsia="Times New Roman" w:hAnsi="Arial" w:cs="Arial"/>
          <w:lang w:eastAsia="hr-HR"/>
        </w:rPr>
        <w:t>,</w:t>
      </w:r>
      <w:r w:rsidRPr="001A1DEB">
        <w:rPr>
          <w:rFonts w:ascii="Arial" w:eastAsia="Times New Roman" w:hAnsi="Arial" w:cs="Arial"/>
          <w:lang w:eastAsia="hr-HR"/>
        </w:rPr>
        <w:t xml:space="preserve"> </w:t>
      </w:r>
      <w:r w:rsidRPr="001A1DEB">
        <w:rPr>
          <w:rFonts w:ascii="Arial" w:hAnsi="Arial" w:cs="Arial"/>
        </w:rPr>
        <w:t>realnije planiranj</w:t>
      </w:r>
      <w:r w:rsidR="00DE6336">
        <w:rPr>
          <w:rFonts w:ascii="Arial" w:hAnsi="Arial" w:cs="Arial"/>
        </w:rPr>
        <w:t>e</w:t>
      </w:r>
      <w:r w:rsidRPr="001A1DEB">
        <w:rPr>
          <w:rFonts w:ascii="Arial" w:hAnsi="Arial" w:cs="Arial"/>
        </w:rPr>
        <w:t xml:space="preserve"> te jačanj</w:t>
      </w:r>
      <w:r w:rsidR="00670288" w:rsidRPr="001A1DEB">
        <w:rPr>
          <w:rFonts w:ascii="Arial" w:hAnsi="Arial" w:cs="Arial"/>
        </w:rPr>
        <w:t>e</w:t>
      </w:r>
      <w:r w:rsidRPr="001A1DEB">
        <w:rPr>
          <w:rFonts w:ascii="Arial" w:hAnsi="Arial" w:cs="Arial"/>
        </w:rPr>
        <w:t xml:space="preserve"> fiskalne odgovornosti. </w:t>
      </w:r>
      <w:proofErr w:type="spellStart"/>
      <w:r w:rsidR="001A1DEB" w:rsidRPr="001A1DEB">
        <w:rPr>
          <w:rFonts w:ascii="Arial" w:hAnsi="Arial" w:cs="Arial"/>
        </w:rPr>
        <w:t>Prijaković</w:t>
      </w:r>
      <w:proofErr w:type="spellEnd"/>
      <w:r w:rsidR="001A1DEB" w:rsidRPr="001A1DEB">
        <w:rPr>
          <w:rFonts w:ascii="Arial" w:hAnsi="Arial" w:cs="Arial"/>
        </w:rPr>
        <w:t xml:space="preserve"> zaključuje </w:t>
      </w:r>
      <w:r w:rsidR="00DE6336">
        <w:rPr>
          <w:rFonts w:ascii="Arial" w:hAnsi="Arial" w:cs="Arial"/>
        </w:rPr>
        <w:t xml:space="preserve">da </w:t>
      </w:r>
      <w:r w:rsidR="001A1DEB" w:rsidRPr="001A1DEB">
        <w:rPr>
          <w:rFonts w:ascii="Arial" w:hAnsi="Arial" w:cs="Arial"/>
        </w:rPr>
        <w:t>je</w:t>
      </w:r>
      <w:r w:rsidR="00DE6336">
        <w:rPr>
          <w:rFonts w:ascii="Arial" w:hAnsi="Arial" w:cs="Arial"/>
        </w:rPr>
        <w:t>, osobito</w:t>
      </w:r>
      <w:r w:rsidR="001A1DEB" w:rsidRPr="001A1DEB">
        <w:rPr>
          <w:rFonts w:ascii="Arial" w:hAnsi="Arial" w:cs="Arial"/>
        </w:rPr>
        <w:t xml:space="preserve"> </w:t>
      </w:r>
      <w:r w:rsidR="00DE6336" w:rsidRPr="001A1DEB">
        <w:rPr>
          <w:rFonts w:ascii="Arial" w:hAnsi="Arial" w:cs="Arial"/>
          <w:u w:color="000000"/>
        </w:rPr>
        <w:t>u predizbornim godinama</w:t>
      </w:r>
      <w:r w:rsidR="00DE6336">
        <w:rPr>
          <w:rFonts w:ascii="Arial" w:hAnsi="Arial" w:cs="Arial"/>
          <w:u w:color="000000"/>
        </w:rPr>
        <w:t>, nužno</w:t>
      </w:r>
      <w:r w:rsidRPr="001A1DEB">
        <w:rPr>
          <w:rFonts w:ascii="Arial" w:hAnsi="Arial" w:cs="Arial"/>
          <w:u w:color="000000"/>
        </w:rPr>
        <w:t xml:space="preserve"> ojačati nadzor nad proračunskim dokumentima te osigurati javno izvještavanje o potencijalno nerealnim planiranjima</w:t>
      </w:r>
      <w:r w:rsidR="001A1DEB" w:rsidRPr="001A1DEB">
        <w:rPr>
          <w:rFonts w:ascii="Arial" w:hAnsi="Arial" w:cs="Arial"/>
          <w:i/>
          <w:iCs/>
          <w:u w:color="000000"/>
        </w:rPr>
        <w:t>.</w:t>
      </w:r>
    </w:p>
    <w:p w14:paraId="6BF0B3D6" w14:textId="77777777" w:rsidR="00AB1C3D" w:rsidRDefault="00AB1C3D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0A76725" w14:textId="77777777" w:rsidR="00C07CF9" w:rsidRDefault="00C07CF9" w:rsidP="008A7D5E">
      <w:pPr>
        <w:spacing w:after="0" w:line="300" w:lineRule="atLeast"/>
        <w:rPr>
          <w:rFonts w:ascii="Arial" w:hAnsi="Arial" w:cs="Arial"/>
          <w:u w:color="000000"/>
        </w:rPr>
      </w:pPr>
    </w:p>
    <w:bookmarkEnd w:id="1"/>
    <w:p w14:paraId="06E273BD" w14:textId="410120EE" w:rsidR="008D28D8" w:rsidRDefault="008D28D8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635923B3" w14:textId="6DBB70AD" w:rsidR="002403E9" w:rsidRDefault="002403E9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4ADE9735" w14:textId="585B978E" w:rsidR="002403E9" w:rsidRDefault="002403E9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4CD2117B" w14:textId="77777777" w:rsidR="002403E9" w:rsidRDefault="002403E9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33920AD9" w14:textId="22DCACEB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5C5AC4" w:rsidRDefault="00A15496" w:rsidP="006A311A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 w:rsidRPr="005C5AC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9" w:history="1"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5C5AC4" w:rsidSect="00B83B1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4759" w14:textId="77777777" w:rsidR="000C7347" w:rsidRDefault="000C7347" w:rsidP="00E1357A">
      <w:pPr>
        <w:spacing w:after="0" w:line="240" w:lineRule="auto"/>
      </w:pPr>
      <w:r>
        <w:separator/>
      </w:r>
    </w:p>
  </w:endnote>
  <w:endnote w:type="continuationSeparator" w:id="0">
    <w:p w14:paraId="62504E3D" w14:textId="77777777" w:rsidR="000C7347" w:rsidRDefault="000C7347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8BF3" w14:textId="77777777" w:rsidR="000C7347" w:rsidRDefault="000C7347" w:rsidP="00E1357A">
      <w:pPr>
        <w:spacing w:after="0" w:line="240" w:lineRule="auto"/>
      </w:pPr>
      <w:r>
        <w:separator/>
      </w:r>
    </w:p>
  </w:footnote>
  <w:footnote w:type="continuationSeparator" w:id="0">
    <w:p w14:paraId="50709FCF" w14:textId="77777777" w:rsidR="000C7347" w:rsidRDefault="000C7347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F618" w14:textId="63967E07" w:rsidR="00B866CE" w:rsidRDefault="00B866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DC5DC" wp14:editId="376BFE21">
          <wp:simplePos x="0" y="0"/>
          <wp:positionH relativeFrom="column">
            <wp:posOffset>-485775</wp:posOffset>
          </wp:positionH>
          <wp:positionV relativeFrom="paragraph">
            <wp:posOffset>-459409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C30"/>
    <w:multiLevelType w:val="hybridMultilevel"/>
    <w:tmpl w:val="13365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6E1B"/>
    <w:multiLevelType w:val="hybridMultilevel"/>
    <w:tmpl w:val="7BD40B14"/>
    <w:lvl w:ilvl="0" w:tplc="BF8CFDC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4DE7"/>
    <w:multiLevelType w:val="hybridMultilevel"/>
    <w:tmpl w:val="B7086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F5FD1"/>
    <w:multiLevelType w:val="hybridMultilevel"/>
    <w:tmpl w:val="37F4F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qwUApxhTRSwAAAA="/>
  </w:docVars>
  <w:rsids>
    <w:rsidRoot w:val="0063685E"/>
    <w:rsid w:val="00001711"/>
    <w:rsid w:val="00001EB2"/>
    <w:rsid w:val="000027B4"/>
    <w:rsid w:val="00015950"/>
    <w:rsid w:val="000173B6"/>
    <w:rsid w:val="00026362"/>
    <w:rsid w:val="00030C4F"/>
    <w:rsid w:val="000412AB"/>
    <w:rsid w:val="000467CF"/>
    <w:rsid w:val="0004758B"/>
    <w:rsid w:val="000475D4"/>
    <w:rsid w:val="00052CB3"/>
    <w:rsid w:val="000547FF"/>
    <w:rsid w:val="0006203A"/>
    <w:rsid w:val="00062219"/>
    <w:rsid w:val="00062468"/>
    <w:rsid w:val="000679F3"/>
    <w:rsid w:val="00070F00"/>
    <w:rsid w:val="00077B90"/>
    <w:rsid w:val="0008180D"/>
    <w:rsid w:val="00092A71"/>
    <w:rsid w:val="00097A35"/>
    <w:rsid w:val="000A14D6"/>
    <w:rsid w:val="000A293C"/>
    <w:rsid w:val="000A2AFA"/>
    <w:rsid w:val="000A58E0"/>
    <w:rsid w:val="000A789A"/>
    <w:rsid w:val="000B24C4"/>
    <w:rsid w:val="000B7190"/>
    <w:rsid w:val="000C2ADE"/>
    <w:rsid w:val="000C5EF1"/>
    <w:rsid w:val="000C7347"/>
    <w:rsid w:val="000D08C2"/>
    <w:rsid w:val="000D28EA"/>
    <w:rsid w:val="000E072F"/>
    <w:rsid w:val="000E0CBB"/>
    <w:rsid w:val="000E21F0"/>
    <w:rsid w:val="000E5522"/>
    <w:rsid w:val="000F0E08"/>
    <w:rsid w:val="000F4B4B"/>
    <w:rsid w:val="000F5CD5"/>
    <w:rsid w:val="000F6842"/>
    <w:rsid w:val="001007BC"/>
    <w:rsid w:val="00101299"/>
    <w:rsid w:val="00103B6C"/>
    <w:rsid w:val="001131A0"/>
    <w:rsid w:val="00120EB1"/>
    <w:rsid w:val="00130C89"/>
    <w:rsid w:val="00132ACF"/>
    <w:rsid w:val="001339E9"/>
    <w:rsid w:val="00134966"/>
    <w:rsid w:val="0013646D"/>
    <w:rsid w:val="001372A1"/>
    <w:rsid w:val="00144A5E"/>
    <w:rsid w:val="00146714"/>
    <w:rsid w:val="0015187E"/>
    <w:rsid w:val="00163FC6"/>
    <w:rsid w:val="00172E2A"/>
    <w:rsid w:val="001769BE"/>
    <w:rsid w:val="00183BFE"/>
    <w:rsid w:val="00183C02"/>
    <w:rsid w:val="001849BB"/>
    <w:rsid w:val="00185EF4"/>
    <w:rsid w:val="001865D9"/>
    <w:rsid w:val="00187078"/>
    <w:rsid w:val="00195C01"/>
    <w:rsid w:val="001A1DEB"/>
    <w:rsid w:val="001B0443"/>
    <w:rsid w:val="001B2602"/>
    <w:rsid w:val="001B60C8"/>
    <w:rsid w:val="001B67E2"/>
    <w:rsid w:val="001C2207"/>
    <w:rsid w:val="001C410B"/>
    <w:rsid w:val="001C4A8A"/>
    <w:rsid w:val="001D4ADC"/>
    <w:rsid w:val="001D72E0"/>
    <w:rsid w:val="001E12C3"/>
    <w:rsid w:val="001E6C9B"/>
    <w:rsid w:val="001E783D"/>
    <w:rsid w:val="001F0CF0"/>
    <w:rsid w:val="001F400B"/>
    <w:rsid w:val="001F7666"/>
    <w:rsid w:val="0020018E"/>
    <w:rsid w:val="00203529"/>
    <w:rsid w:val="002131B0"/>
    <w:rsid w:val="00217772"/>
    <w:rsid w:val="00217B82"/>
    <w:rsid w:val="002212A5"/>
    <w:rsid w:val="00233F5E"/>
    <w:rsid w:val="002352BE"/>
    <w:rsid w:val="002403E9"/>
    <w:rsid w:val="00241715"/>
    <w:rsid w:val="00244FC4"/>
    <w:rsid w:val="002511C7"/>
    <w:rsid w:val="002513A0"/>
    <w:rsid w:val="00252477"/>
    <w:rsid w:val="00252628"/>
    <w:rsid w:val="002614DF"/>
    <w:rsid w:val="00267115"/>
    <w:rsid w:val="002718CE"/>
    <w:rsid w:val="00271AC7"/>
    <w:rsid w:val="00273518"/>
    <w:rsid w:val="00284AE2"/>
    <w:rsid w:val="00285C22"/>
    <w:rsid w:val="002911E0"/>
    <w:rsid w:val="00294775"/>
    <w:rsid w:val="00297211"/>
    <w:rsid w:val="002972D9"/>
    <w:rsid w:val="00297BC1"/>
    <w:rsid w:val="002A015D"/>
    <w:rsid w:val="002A72C3"/>
    <w:rsid w:val="002A750F"/>
    <w:rsid w:val="002B516D"/>
    <w:rsid w:val="002B6C9E"/>
    <w:rsid w:val="002C2050"/>
    <w:rsid w:val="002D7AC5"/>
    <w:rsid w:val="002E0AC5"/>
    <w:rsid w:val="002E4346"/>
    <w:rsid w:val="002E707B"/>
    <w:rsid w:val="002E7F7F"/>
    <w:rsid w:val="002F08F2"/>
    <w:rsid w:val="002F1227"/>
    <w:rsid w:val="002F1A33"/>
    <w:rsid w:val="002F2939"/>
    <w:rsid w:val="002F4FAA"/>
    <w:rsid w:val="002F590B"/>
    <w:rsid w:val="002F7BE3"/>
    <w:rsid w:val="00304EFA"/>
    <w:rsid w:val="00305D6F"/>
    <w:rsid w:val="00311E01"/>
    <w:rsid w:val="003135B3"/>
    <w:rsid w:val="003136A7"/>
    <w:rsid w:val="00321274"/>
    <w:rsid w:val="0032226F"/>
    <w:rsid w:val="00323A5E"/>
    <w:rsid w:val="00330832"/>
    <w:rsid w:val="00333FFF"/>
    <w:rsid w:val="0033491E"/>
    <w:rsid w:val="003350A1"/>
    <w:rsid w:val="00345764"/>
    <w:rsid w:val="003457FF"/>
    <w:rsid w:val="0034634C"/>
    <w:rsid w:val="00351163"/>
    <w:rsid w:val="00353C4B"/>
    <w:rsid w:val="00367749"/>
    <w:rsid w:val="003714AB"/>
    <w:rsid w:val="0037345E"/>
    <w:rsid w:val="00387A3E"/>
    <w:rsid w:val="003B23E4"/>
    <w:rsid w:val="003B36BF"/>
    <w:rsid w:val="003B4805"/>
    <w:rsid w:val="003B76B8"/>
    <w:rsid w:val="003B7C5E"/>
    <w:rsid w:val="003C7701"/>
    <w:rsid w:val="003C7AD9"/>
    <w:rsid w:val="003D0428"/>
    <w:rsid w:val="003D29B0"/>
    <w:rsid w:val="003D566C"/>
    <w:rsid w:val="003D7A42"/>
    <w:rsid w:val="003E01C0"/>
    <w:rsid w:val="003F0AEC"/>
    <w:rsid w:val="003F0E3D"/>
    <w:rsid w:val="003F1EC8"/>
    <w:rsid w:val="003F2277"/>
    <w:rsid w:val="003F3538"/>
    <w:rsid w:val="003F70E6"/>
    <w:rsid w:val="0040074D"/>
    <w:rsid w:val="00405C40"/>
    <w:rsid w:val="00405FF2"/>
    <w:rsid w:val="00420463"/>
    <w:rsid w:val="00423C76"/>
    <w:rsid w:val="0042610E"/>
    <w:rsid w:val="0042617E"/>
    <w:rsid w:val="00430EE4"/>
    <w:rsid w:val="00440A38"/>
    <w:rsid w:val="00444E74"/>
    <w:rsid w:val="00447B53"/>
    <w:rsid w:val="00450336"/>
    <w:rsid w:val="00450DC5"/>
    <w:rsid w:val="00450ECB"/>
    <w:rsid w:val="0045297A"/>
    <w:rsid w:val="00456A2F"/>
    <w:rsid w:val="004607BD"/>
    <w:rsid w:val="00473376"/>
    <w:rsid w:val="00473518"/>
    <w:rsid w:val="0047413F"/>
    <w:rsid w:val="00483BA2"/>
    <w:rsid w:val="00486B1D"/>
    <w:rsid w:val="004A07AA"/>
    <w:rsid w:val="004A4567"/>
    <w:rsid w:val="004A59F7"/>
    <w:rsid w:val="004B0FE7"/>
    <w:rsid w:val="004B3E1B"/>
    <w:rsid w:val="004B7C57"/>
    <w:rsid w:val="004C071A"/>
    <w:rsid w:val="004D62D2"/>
    <w:rsid w:val="004D73CE"/>
    <w:rsid w:val="004E2E8A"/>
    <w:rsid w:val="004F2DB7"/>
    <w:rsid w:val="004F51B0"/>
    <w:rsid w:val="004F7172"/>
    <w:rsid w:val="00500B93"/>
    <w:rsid w:val="00505C09"/>
    <w:rsid w:val="005241F5"/>
    <w:rsid w:val="005315E1"/>
    <w:rsid w:val="005328FE"/>
    <w:rsid w:val="00534796"/>
    <w:rsid w:val="0053644A"/>
    <w:rsid w:val="00541FD1"/>
    <w:rsid w:val="00542F9C"/>
    <w:rsid w:val="0054385D"/>
    <w:rsid w:val="00544DC3"/>
    <w:rsid w:val="00553985"/>
    <w:rsid w:val="00557D1E"/>
    <w:rsid w:val="005609A8"/>
    <w:rsid w:val="0056153E"/>
    <w:rsid w:val="005639B4"/>
    <w:rsid w:val="00564919"/>
    <w:rsid w:val="00567320"/>
    <w:rsid w:val="00570556"/>
    <w:rsid w:val="005754E3"/>
    <w:rsid w:val="005767EA"/>
    <w:rsid w:val="005802A0"/>
    <w:rsid w:val="00592B9F"/>
    <w:rsid w:val="00596CCD"/>
    <w:rsid w:val="005C3512"/>
    <w:rsid w:val="005C5AC4"/>
    <w:rsid w:val="005D17D7"/>
    <w:rsid w:val="005E1A13"/>
    <w:rsid w:val="005E3058"/>
    <w:rsid w:val="005F4F1D"/>
    <w:rsid w:val="005F6812"/>
    <w:rsid w:val="006070FE"/>
    <w:rsid w:val="006111CC"/>
    <w:rsid w:val="0062246B"/>
    <w:rsid w:val="00626BD9"/>
    <w:rsid w:val="00626EAB"/>
    <w:rsid w:val="006323D2"/>
    <w:rsid w:val="0063685E"/>
    <w:rsid w:val="00637586"/>
    <w:rsid w:val="006420B5"/>
    <w:rsid w:val="006532D4"/>
    <w:rsid w:val="00655102"/>
    <w:rsid w:val="006563AF"/>
    <w:rsid w:val="006627D6"/>
    <w:rsid w:val="00664586"/>
    <w:rsid w:val="00667C35"/>
    <w:rsid w:val="00670288"/>
    <w:rsid w:val="00670452"/>
    <w:rsid w:val="00670D28"/>
    <w:rsid w:val="0067266E"/>
    <w:rsid w:val="006809C6"/>
    <w:rsid w:val="00683047"/>
    <w:rsid w:val="0068332B"/>
    <w:rsid w:val="00683A67"/>
    <w:rsid w:val="0068631D"/>
    <w:rsid w:val="006902A1"/>
    <w:rsid w:val="006952A6"/>
    <w:rsid w:val="006A01A9"/>
    <w:rsid w:val="006A311A"/>
    <w:rsid w:val="006A6E6B"/>
    <w:rsid w:val="006B034D"/>
    <w:rsid w:val="006B1742"/>
    <w:rsid w:val="006B2D5F"/>
    <w:rsid w:val="006C11B6"/>
    <w:rsid w:val="006C1916"/>
    <w:rsid w:val="006C2C8A"/>
    <w:rsid w:val="006C4350"/>
    <w:rsid w:val="006E055F"/>
    <w:rsid w:val="006E2A93"/>
    <w:rsid w:val="006E3280"/>
    <w:rsid w:val="006F2A75"/>
    <w:rsid w:val="006F31A4"/>
    <w:rsid w:val="006F462A"/>
    <w:rsid w:val="006F52A8"/>
    <w:rsid w:val="007121FA"/>
    <w:rsid w:val="00712750"/>
    <w:rsid w:val="00715CFE"/>
    <w:rsid w:val="0072473A"/>
    <w:rsid w:val="007408EC"/>
    <w:rsid w:val="007413E0"/>
    <w:rsid w:val="00743CCB"/>
    <w:rsid w:val="007475DA"/>
    <w:rsid w:val="0075275F"/>
    <w:rsid w:val="007534D7"/>
    <w:rsid w:val="007572F5"/>
    <w:rsid w:val="00757AB7"/>
    <w:rsid w:val="007624D3"/>
    <w:rsid w:val="00775604"/>
    <w:rsid w:val="007779A1"/>
    <w:rsid w:val="00780686"/>
    <w:rsid w:val="00785779"/>
    <w:rsid w:val="00792532"/>
    <w:rsid w:val="00793702"/>
    <w:rsid w:val="00793A2D"/>
    <w:rsid w:val="00796E27"/>
    <w:rsid w:val="007A7688"/>
    <w:rsid w:val="007A78DC"/>
    <w:rsid w:val="007B461E"/>
    <w:rsid w:val="007C15D3"/>
    <w:rsid w:val="007E0A00"/>
    <w:rsid w:val="007E4DB9"/>
    <w:rsid w:val="008025BF"/>
    <w:rsid w:val="00805583"/>
    <w:rsid w:val="00812DC2"/>
    <w:rsid w:val="008144FC"/>
    <w:rsid w:val="00814F27"/>
    <w:rsid w:val="00817F11"/>
    <w:rsid w:val="008225AA"/>
    <w:rsid w:val="0082517C"/>
    <w:rsid w:val="008325FD"/>
    <w:rsid w:val="00832C52"/>
    <w:rsid w:val="00834C01"/>
    <w:rsid w:val="00837B78"/>
    <w:rsid w:val="00844C4F"/>
    <w:rsid w:val="00844DD4"/>
    <w:rsid w:val="00844F45"/>
    <w:rsid w:val="008505EE"/>
    <w:rsid w:val="00851258"/>
    <w:rsid w:val="00860852"/>
    <w:rsid w:val="0086188A"/>
    <w:rsid w:val="00863FD7"/>
    <w:rsid w:val="00866DFA"/>
    <w:rsid w:val="0087068B"/>
    <w:rsid w:val="0087441C"/>
    <w:rsid w:val="00877DE3"/>
    <w:rsid w:val="00883F10"/>
    <w:rsid w:val="00886104"/>
    <w:rsid w:val="00887002"/>
    <w:rsid w:val="00896AE4"/>
    <w:rsid w:val="00897DA5"/>
    <w:rsid w:val="008A44FA"/>
    <w:rsid w:val="008A75FA"/>
    <w:rsid w:val="008A7D5E"/>
    <w:rsid w:val="008B1C22"/>
    <w:rsid w:val="008B4C0F"/>
    <w:rsid w:val="008B7158"/>
    <w:rsid w:val="008C2739"/>
    <w:rsid w:val="008D28D8"/>
    <w:rsid w:val="008D2E60"/>
    <w:rsid w:val="008D4EA3"/>
    <w:rsid w:val="008D4F04"/>
    <w:rsid w:val="008E27B8"/>
    <w:rsid w:val="008E54A7"/>
    <w:rsid w:val="008F0291"/>
    <w:rsid w:val="00900064"/>
    <w:rsid w:val="00906156"/>
    <w:rsid w:val="009103E7"/>
    <w:rsid w:val="0091154A"/>
    <w:rsid w:val="00914DD0"/>
    <w:rsid w:val="00916122"/>
    <w:rsid w:val="009165ED"/>
    <w:rsid w:val="00923E93"/>
    <w:rsid w:val="00932BA2"/>
    <w:rsid w:val="00934B7D"/>
    <w:rsid w:val="0093612C"/>
    <w:rsid w:val="00941759"/>
    <w:rsid w:val="00942DC3"/>
    <w:rsid w:val="009438AC"/>
    <w:rsid w:val="009456FA"/>
    <w:rsid w:val="00946C7B"/>
    <w:rsid w:val="009559B0"/>
    <w:rsid w:val="00961410"/>
    <w:rsid w:val="00963F69"/>
    <w:rsid w:val="0097370B"/>
    <w:rsid w:val="00977895"/>
    <w:rsid w:val="00981D96"/>
    <w:rsid w:val="0098451B"/>
    <w:rsid w:val="009877DE"/>
    <w:rsid w:val="009902A5"/>
    <w:rsid w:val="0099143F"/>
    <w:rsid w:val="00997513"/>
    <w:rsid w:val="00997629"/>
    <w:rsid w:val="009A7640"/>
    <w:rsid w:val="009A778B"/>
    <w:rsid w:val="009A7E16"/>
    <w:rsid w:val="009B1287"/>
    <w:rsid w:val="009B2895"/>
    <w:rsid w:val="009B30C8"/>
    <w:rsid w:val="009B3D5D"/>
    <w:rsid w:val="009B5B5C"/>
    <w:rsid w:val="009C12AC"/>
    <w:rsid w:val="009C39DB"/>
    <w:rsid w:val="009C4D56"/>
    <w:rsid w:val="009D1CC8"/>
    <w:rsid w:val="009D22C5"/>
    <w:rsid w:val="009D71F1"/>
    <w:rsid w:val="009D7AC6"/>
    <w:rsid w:val="009E1367"/>
    <w:rsid w:val="009F22D7"/>
    <w:rsid w:val="009F306F"/>
    <w:rsid w:val="009F3E32"/>
    <w:rsid w:val="009F74EC"/>
    <w:rsid w:val="00A021B5"/>
    <w:rsid w:val="00A0238A"/>
    <w:rsid w:val="00A070CA"/>
    <w:rsid w:val="00A130CB"/>
    <w:rsid w:val="00A15496"/>
    <w:rsid w:val="00A221E9"/>
    <w:rsid w:val="00A25159"/>
    <w:rsid w:val="00A30986"/>
    <w:rsid w:val="00A31D2D"/>
    <w:rsid w:val="00A32CED"/>
    <w:rsid w:val="00A37F82"/>
    <w:rsid w:val="00A40D3C"/>
    <w:rsid w:val="00A46F52"/>
    <w:rsid w:val="00A472E9"/>
    <w:rsid w:val="00A547DB"/>
    <w:rsid w:val="00A56604"/>
    <w:rsid w:val="00A57117"/>
    <w:rsid w:val="00A57B95"/>
    <w:rsid w:val="00A6036E"/>
    <w:rsid w:val="00A61AF4"/>
    <w:rsid w:val="00A63AF4"/>
    <w:rsid w:val="00A6515F"/>
    <w:rsid w:val="00A67957"/>
    <w:rsid w:val="00A72EA0"/>
    <w:rsid w:val="00A7512D"/>
    <w:rsid w:val="00A839DB"/>
    <w:rsid w:val="00A93C14"/>
    <w:rsid w:val="00AA67AA"/>
    <w:rsid w:val="00AB0CBC"/>
    <w:rsid w:val="00AB1AC8"/>
    <w:rsid w:val="00AB1C3D"/>
    <w:rsid w:val="00AB3485"/>
    <w:rsid w:val="00AB66E8"/>
    <w:rsid w:val="00AD0B5E"/>
    <w:rsid w:val="00AD0C07"/>
    <w:rsid w:val="00AD6182"/>
    <w:rsid w:val="00AE2BD1"/>
    <w:rsid w:val="00AE3157"/>
    <w:rsid w:val="00AF3B0F"/>
    <w:rsid w:val="00AF47AA"/>
    <w:rsid w:val="00AF48B3"/>
    <w:rsid w:val="00AF5E83"/>
    <w:rsid w:val="00AF7043"/>
    <w:rsid w:val="00B13966"/>
    <w:rsid w:val="00B17246"/>
    <w:rsid w:val="00B21D4C"/>
    <w:rsid w:val="00B2341C"/>
    <w:rsid w:val="00B261E1"/>
    <w:rsid w:val="00B343F6"/>
    <w:rsid w:val="00B40379"/>
    <w:rsid w:val="00B42F6D"/>
    <w:rsid w:val="00B456DF"/>
    <w:rsid w:val="00B671AE"/>
    <w:rsid w:val="00B719B0"/>
    <w:rsid w:val="00B719E5"/>
    <w:rsid w:val="00B74687"/>
    <w:rsid w:val="00B8380D"/>
    <w:rsid w:val="00B83B16"/>
    <w:rsid w:val="00B858DA"/>
    <w:rsid w:val="00B866CE"/>
    <w:rsid w:val="00B92FD9"/>
    <w:rsid w:val="00B945AC"/>
    <w:rsid w:val="00B96349"/>
    <w:rsid w:val="00B96EB5"/>
    <w:rsid w:val="00BA0A8D"/>
    <w:rsid w:val="00BA287B"/>
    <w:rsid w:val="00BA2E0F"/>
    <w:rsid w:val="00BA556F"/>
    <w:rsid w:val="00BD2213"/>
    <w:rsid w:val="00BD37FD"/>
    <w:rsid w:val="00BE3F6F"/>
    <w:rsid w:val="00BE4212"/>
    <w:rsid w:val="00BF1E03"/>
    <w:rsid w:val="00BF287F"/>
    <w:rsid w:val="00BF45F8"/>
    <w:rsid w:val="00C00DA2"/>
    <w:rsid w:val="00C02A44"/>
    <w:rsid w:val="00C0315A"/>
    <w:rsid w:val="00C04E5E"/>
    <w:rsid w:val="00C07642"/>
    <w:rsid w:val="00C07B7F"/>
    <w:rsid w:val="00C07CF9"/>
    <w:rsid w:val="00C14367"/>
    <w:rsid w:val="00C17C4F"/>
    <w:rsid w:val="00C23EA4"/>
    <w:rsid w:val="00C32EA3"/>
    <w:rsid w:val="00C37CF9"/>
    <w:rsid w:val="00C448E3"/>
    <w:rsid w:val="00C46FEB"/>
    <w:rsid w:val="00C51AD2"/>
    <w:rsid w:val="00C5343C"/>
    <w:rsid w:val="00C53F8D"/>
    <w:rsid w:val="00C57D18"/>
    <w:rsid w:val="00C60AC4"/>
    <w:rsid w:val="00C64443"/>
    <w:rsid w:val="00C662B5"/>
    <w:rsid w:val="00C76DFF"/>
    <w:rsid w:val="00C77F30"/>
    <w:rsid w:val="00C82621"/>
    <w:rsid w:val="00C82FC8"/>
    <w:rsid w:val="00C85C5F"/>
    <w:rsid w:val="00C85E14"/>
    <w:rsid w:val="00C8769A"/>
    <w:rsid w:val="00C92102"/>
    <w:rsid w:val="00C97BF4"/>
    <w:rsid w:val="00C97F17"/>
    <w:rsid w:val="00CA2119"/>
    <w:rsid w:val="00CB3C23"/>
    <w:rsid w:val="00CC30F4"/>
    <w:rsid w:val="00CC5167"/>
    <w:rsid w:val="00CC65E8"/>
    <w:rsid w:val="00CE1106"/>
    <w:rsid w:val="00CE222C"/>
    <w:rsid w:val="00CE45CB"/>
    <w:rsid w:val="00CE5F19"/>
    <w:rsid w:val="00CF37F5"/>
    <w:rsid w:val="00CF59D9"/>
    <w:rsid w:val="00D02AB1"/>
    <w:rsid w:val="00D03F13"/>
    <w:rsid w:val="00D10723"/>
    <w:rsid w:val="00D156B7"/>
    <w:rsid w:val="00D20A4A"/>
    <w:rsid w:val="00D32B1A"/>
    <w:rsid w:val="00D359D9"/>
    <w:rsid w:val="00D453BC"/>
    <w:rsid w:val="00D468D8"/>
    <w:rsid w:val="00D47C28"/>
    <w:rsid w:val="00D52C60"/>
    <w:rsid w:val="00D57D67"/>
    <w:rsid w:val="00D57EE8"/>
    <w:rsid w:val="00D60B30"/>
    <w:rsid w:val="00D614AD"/>
    <w:rsid w:val="00D62043"/>
    <w:rsid w:val="00D62694"/>
    <w:rsid w:val="00D6383D"/>
    <w:rsid w:val="00D66DDC"/>
    <w:rsid w:val="00D7293E"/>
    <w:rsid w:val="00D83FB4"/>
    <w:rsid w:val="00D84B38"/>
    <w:rsid w:val="00D90B74"/>
    <w:rsid w:val="00D943F9"/>
    <w:rsid w:val="00D9558A"/>
    <w:rsid w:val="00D95E04"/>
    <w:rsid w:val="00DA1E54"/>
    <w:rsid w:val="00DA3F4F"/>
    <w:rsid w:val="00DA42E7"/>
    <w:rsid w:val="00DB06B0"/>
    <w:rsid w:val="00DC003C"/>
    <w:rsid w:val="00DD1869"/>
    <w:rsid w:val="00DD653E"/>
    <w:rsid w:val="00DE30D7"/>
    <w:rsid w:val="00DE6336"/>
    <w:rsid w:val="00DF6830"/>
    <w:rsid w:val="00E12F6E"/>
    <w:rsid w:val="00E1357A"/>
    <w:rsid w:val="00E17329"/>
    <w:rsid w:val="00E20412"/>
    <w:rsid w:val="00E21C0F"/>
    <w:rsid w:val="00E33A6D"/>
    <w:rsid w:val="00E52B46"/>
    <w:rsid w:val="00E60367"/>
    <w:rsid w:val="00E61284"/>
    <w:rsid w:val="00E625AF"/>
    <w:rsid w:val="00E709E8"/>
    <w:rsid w:val="00E74B4B"/>
    <w:rsid w:val="00E76B4F"/>
    <w:rsid w:val="00E7706C"/>
    <w:rsid w:val="00E77AEB"/>
    <w:rsid w:val="00E85560"/>
    <w:rsid w:val="00E8785C"/>
    <w:rsid w:val="00E90621"/>
    <w:rsid w:val="00E90D2B"/>
    <w:rsid w:val="00E9328A"/>
    <w:rsid w:val="00E93566"/>
    <w:rsid w:val="00E95F62"/>
    <w:rsid w:val="00EA4E5F"/>
    <w:rsid w:val="00EA7BDA"/>
    <w:rsid w:val="00EB0B76"/>
    <w:rsid w:val="00EB2774"/>
    <w:rsid w:val="00EB6972"/>
    <w:rsid w:val="00EC31E5"/>
    <w:rsid w:val="00EE04C5"/>
    <w:rsid w:val="00EE132B"/>
    <w:rsid w:val="00EE3947"/>
    <w:rsid w:val="00EE3B6E"/>
    <w:rsid w:val="00EE4A38"/>
    <w:rsid w:val="00EE70A4"/>
    <w:rsid w:val="00EF0C51"/>
    <w:rsid w:val="00EF138D"/>
    <w:rsid w:val="00EF148B"/>
    <w:rsid w:val="00F01D2C"/>
    <w:rsid w:val="00F05ECE"/>
    <w:rsid w:val="00F11976"/>
    <w:rsid w:val="00F12740"/>
    <w:rsid w:val="00F129D6"/>
    <w:rsid w:val="00F13487"/>
    <w:rsid w:val="00F14733"/>
    <w:rsid w:val="00F14745"/>
    <w:rsid w:val="00F1656E"/>
    <w:rsid w:val="00F27A7C"/>
    <w:rsid w:val="00F27C64"/>
    <w:rsid w:val="00F27F22"/>
    <w:rsid w:val="00F302AD"/>
    <w:rsid w:val="00F409F8"/>
    <w:rsid w:val="00F41C5D"/>
    <w:rsid w:val="00F42B83"/>
    <w:rsid w:val="00F4615F"/>
    <w:rsid w:val="00F528E0"/>
    <w:rsid w:val="00F53263"/>
    <w:rsid w:val="00F618F2"/>
    <w:rsid w:val="00F65472"/>
    <w:rsid w:val="00F65D01"/>
    <w:rsid w:val="00F6634D"/>
    <w:rsid w:val="00F710B4"/>
    <w:rsid w:val="00F74BBA"/>
    <w:rsid w:val="00F77C6D"/>
    <w:rsid w:val="00F807A2"/>
    <w:rsid w:val="00F821B4"/>
    <w:rsid w:val="00F83274"/>
    <w:rsid w:val="00F87CDF"/>
    <w:rsid w:val="00F87D41"/>
    <w:rsid w:val="00F92A1A"/>
    <w:rsid w:val="00FA1DCD"/>
    <w:rsid w:val="00FA2A23"/>
    <w:rsid w:val="00FA3145"/>
    <w:rsid w:val="00FA33C2"/>
    <w:rsid w:val="00FA3E45"/>
    <w:rsid w:val="00FB0B6D"/>
    <w:rsid w:val="00FB2F38"/>
    <w:rsid w:val="00FC1BDB"/>
    <w:rsid w:val="00FC7706"/>
    <w:rsid w:val="00FD2F44"/>
    <w:rsid w:val="00FE01BF"/>
    <w:rsid w:val="00FE43C9"/>
    <w:rsid w:val="00FE7CD5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  <w:style w:type="character" w:styleId="Strong">
    <w:name w:val="Strong"/>
    <w:basedOn w:val="DefaultParagraphFont"/>
    <w:uiPriority w:val="22"/>
    <w:qFormat/>
    <w:rsid w:val="0056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1118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A177-1716-4AD5-8EDC-F096D1F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7</cp:revision>
  <cp:lastPrinted>2025-05-12T12:04:00Z</cp:lastPrinted>
  <dcterms:created xsi:type="dcterms:W3CDTF">2025-05-12T12:56:00Z</dcterms:created>
  <dcterms:modified xsi:type="dcterms:W3CDTF">2025-05-13T07:33:00Z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