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Default="00C85E14" w:rsidP="00C85E14">
      <w:pPr>
        <w:spacing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Default="00C85E14" w:rsidP="00C85E14">
      <w:pPr>
        <w:spacing w:line="240" w:lineRule="auto"/>
        <w:rPr>
          <w:rFonts w:ascii="Arial" w:hAnsi="Arial" w:cs="Arial"/>
          <w:b/>
          <w:i/>
        </w:rPr>
      </w:pPr>
    </w:p>
    <w:p w14:paraId="2D9916B5" w14:textId="7513CF5E" w:rsidR="00C85E14" w:rsidRPr="006C2C8A" w:rsidRDefault="00C85E14" w:rsidP="006C2C8A">
      <w:pPr>
        <w:spacing w:after="0" w:line="300" w:lineRule="atLeast"/>
        <w:rPr>
          <w:rFonts w:ascii="Arial" w:hAnsi="Arial" w:cs="Arial"/>
        </w:rPr>
      </w:pPr>
      <w:r w:rsidRPr="006C2C8A">
        <w:rPr>
          <w:rFonts w:ascii="Arial" w:hAnsi="Arial" w:cs="Arial"/>
        </w:rPr>
        <w:t xml:space="preserve">Zagreb, </w:t>
      </w:r>
      <w:r w:rsidR="00F13487" w:rsidRPr="006C2C8A">
        <w:rPr>
          <w:rFonts w:ascii="Arial" w:hAnsi="Arial" w:cs="Arial"/>
        </w:rPr>
        <w:t>3</w:t>
      </w:r>
      <w:r w:rsidRPr="006C2C8A">
        <w:rPr>
          <w:rFonts w:ascii="Arial" w:hAnsi="Arial" w:cs="Arial"/>
        </w:rPr>
        <w:t xml:space="preserve">. </w:t>
      </w:r>
      <w:r w:rsidR="00F13487" w:rsidRPr="006C2C8A">
        <w:rPr>
          <w:rFonts w:ascii="Arial" w:hAnsi="Arial" w:cs="Arial"/>
        </w:rPr>
        <w:t>lipnja</w:t>
      </w:r>
      <w:r w:rsidRPr="006C2C8A">
        <w:rPr>
          <w:rFonts w:ascii="Arial" w:hAnsi="Arial" w:cs="Arial"/>
        </w:rPr>
        <w:t xml:space="preserve"> 202</w:t>
      </w:r>
      <w:r w:rsidR="00172E2A" w:rsidRPr="006C2C8A">
        <w:rPr>
          <w:rFonts w:ascii="Arial" w:hAnsi="Arial" w:cs="Arial"/>
        </w:rPr>
        <w:t>4</w:t>
      </w:r>
      <w:r w:rsidR="00A72EA0" w:rsidRPr="006C2C8A">
        <w:rPr>
          <w:rFonts w:ascii="Arial" w:hAnsi="Arial" w:cs="Arial"/>
        </w:rPr>
        <w:t>.</w:t>
      </w:r>
    </w:p>
    <w:p w14:paraId="5EAF4770" w14:textId="77777777" w:rsidR="00C85E14" w:rsidRPr="006C2C8A" w:rsidRDefault="00C85E14" w:rsidP="006C2C8A">
      <w:pPr>
        <w:spacing w:after="0" w:line="300" w:lineRule="atLeast"/>
        <w:rPr>
          <w:rFonts w:ascii="Arial" w:hAnsi="Arial" w:cs="Arial"/>
          <w:b/>
          <w:smallCaps/>
        </w:rPr>
      </w:pPr>
    </w:p>
    <w:p w14:paraId="4E898297" w14:textId="07849528" w:rsidR="008D4EA3" w:rsidRPr="006C2C8A" w:rsidRDefault="00780686" w:rsidP="006C2C8A">
      <w:pPr>
        <w:spacing w:after="0" w:line="300" w:lineRule="atLeast"/>
        <w:rPr>
          <w:rFonts w:ascii="Arial" w:hAnsi="Arial" w:cs="Arial"/>
          <w:b/>
        </w:rPr>
      </w:pPr>
      <w:r w:rsidRPr="006C2C8A">
        <w:rPr>
          <w:rFonts w:ascii="Arial" w:hAnsi="Arial" w:cs="Arial"/>
          <w:b/>
        </w:rPr>
        <w:t>OBJAVA ZA MEDIJE</w:t>
      </w:r>
    </w:p>
    <w:p w14:paraId="47F5ABED" w14:textId="693E14FE" w:rsidR="00F13487" w:rsidRPr="006C2C8A" w:rsidRDefault="00F13487" w:rsidP="006C2C8A">
      <w:pPr>
        <w:pBdr>
          <w:bottom w:val="single" w:sz="4" w:space="1" w:color="808080" w:themeColor="background1" w:themeShade="80"/>
        </w:pBdr>
        <w:spacing w:after="0" w:line="300" w:lineRule="atLeast"/>
        <w:rPr>
          <w:rFonts w:ascii="Arial" w:hAnsi="Arial" w:cs="Arial"/>
          <w:b/>
          <w:bCs/>
          <w:color w:val="C00000"/>
        </w:rPr>
      </w:pPr>
      <w:r w:rsidRPr="006C2C8A">
        <w:rPr>
          <w:rFonts w:ascii="Arial" w:hAnsi="Arial" w:cs="Arial"/>
          <w:b/>
          <w:bCs/>
          <w:color w:val="C00000"/>
        </w:rPr>
        <w:t>OTVORENOST PRORAČUNA SREDIŠNJE DRŽAVE: HRVATSKA JOŠ UVIJEK IMA MNOGO PROSTORA ZA NAPREDAK</w:t>
      </w:r>
    </w:p>
    <w:p w14:paraId="0DB8439F" w14:textId="77777777" w:rsidR="00F13487" w:rsidRPr="006C2C8A" w:rsidRDefault="00F13487" w:rsidP="006C2C8A">
      <w:pPr>
        <w:pBdr>
          <w:bottom w:val="single" w:sz="4" w:space="1" w:color="808080" w:themeColor="background1" w:themeShade="80"/>
        </w:pBdr>
        <w:spacing w:after="0" w:line="300" w:lineRule="atLeast"/>
        <w:rPr>
          <w:rFonts w:ascii="Arial" w:hAnsi="Arial" w:cs="Arial"/>
          <w:b/>
          <w:bCs/>
          <w:color w:val="C00000"/>
        </w:rPr>
      </w:pPr>
    </w:p>
    <w:p w14:paraId="4E49F8F4" w14:textId="77777777" w:rsidR="00FA3E45" w:rsidRPr="006C2C8A" w:rsidRDefault="00FA3E45" w:rsidP="006C2C8A">
      <w:pPr>
        <w:spacing w:after="0" w:line="300" w:lineRule="atLeast"/>
        <w:rPr>
          <w:rFonts w:ascii="Arial" w:hAnsi="Arial" w:cs="Arial"/>
          <w:i/>
          <w:iCs/>
        </w:rPr>
      </w:pPr>
    </w:p>
    <w:p w14:paraId="24490FCD" w14:textId="75B705B8" w:rsidR="00F13487" w:rsidRPr="00D614AD" w:rsidRDefault="00E17329" w:rsidP="006C2C8A">
      <w:pPr>
        <w:spacing w:after="0" w:line="300" w:lineRule="atLeast"/>
        <w:rPr>
          <w:rFonts w:ascii="Arial" w:hAnsi="Arial" w:cs="Arial"/>
          <w:bCs/>
          <w:i/>
          <w:iCs/>
        </w:rPr>
      </w:pPr>
      <w:r w:rsidRPr="006C2C8A">
        <w:rPr>
          <w:rFonts w:ascii="Arial" w:hAnsi="Arial" w:cs="Arial"/>
          <w:i/>
          <w:iCs/>
        </w:rPr>
        <w:t>U novom</w:t>
      </w:r>
      <w:r w:rsidR="00A7512D" w:rsidRPr="006C2C8A">
        <w:rPr>
          <w:rFonts w:ascii="Arial" w:hAnsi="Arial" w:cs="Arial"/>
          <w:i/>
          <w:iCs/>
        </w:rPr>
        <w:t>e</w:t>
      </w:r>
      <w:r w:rsidRPr="006C2C8A">
        <w:rPr>
          <w:rFonts w:ascii="Arial" w:hAnsi="Arial" w:cs="Arial"/>
          <w:i/>
          <w:iCs/>
        </w:rPr>
        <w:t xml:space="preserve"> broju </w:t>
      </w:r>
      <w:hyperlink r:id="rId8" w:history="1">
        <w:r w:rsidRPr="00E60367">
          <w:rPr>
            <w:rStyle w:val="Hyperlink"/>
            <w:rFonts w:ascii="Arial" w:hAnsi="Arial" w:cs="Arial"/>
            <w:i/>
            <w:iCs/>
            <w:color w:val="C00000"/>
            <w:u w:val="none"/>
          </w:rPr>
          <w:t>Osvrta Instituta za javne financije</w:t>
        </w:r>
      </w:hyperlink>
      <w:r w:rsidRPr="006C2C8A">
        <w:rPr>
          <w:rFonts w:ascii="Arial" w:hAnsi="Arial" w:cs="Arial"/>
          <w:i/>
          <w:iCs/>
        </w:rPr>
        <w:t xml:space="preserve"> </w:t>
      </w:r>
      <w:r w:rsidR="00F13487" w:rsidRPr="006C2C8A">
        <w:rPr>
          <w:rFonts w:ascii="Arial" w:hAnsi="Arial" w:cs="Arial"/>
          <w:b/>
          <w:i/>
          <w:iCs/>
        </w:rPr>
        <w:t xml:space="preserve">Mihaela </w:t>
      </w:r>
      <w:proofErr w:type="spellStart"/>
      <w:r w:rsidR="00F13487" w:rsidRPr="006C2C8A">
        <w:rPr>
          <w:rFonts w:ascii="Arial" w:hAnsi="Arial" w:cs="Arial"/>
          <w:b/>
          <w:i/>
          <w:iCs/>
        </w:rPr>
        <w:t>Bronić</w:t>
      </w:r>
      <w:proofErr w:type="spellEnd"/>
      <w:r w:rsidR="00F13487" w:rsidRPr="006C2C8A">
        <w:rPr>
          <w:rFonts w:ascii="Arial" w:hAnsi="Arial" w:cs="Arial"/>
          <w:b/>
          <w:i/>
          <w:iCs/>
        </w:rPr>
        <w:t xml:space="preserve"> </w:t>
      </w:r>
      <w:r w:rsidR="00F13487" w:rsidRPr="006C2C8A">
        <w:rPr>
          <w:rFonts w:ascii="Arial" w:hAnsi="Arial" w:cs="Arial"/>
          <w:bCs/>
          <w:i/>
          <w:iCs/>
        </w:rPr>
        <w:t>i</w:t>
      </w:r>
      <w:r w:rsidR="00F13487" w:rsidRPr="006C2C8A">
        <w:rPr>
          <w:rFonts w:ascii="Arial" w:hAnsi="Arial" w:cs="Arial"/>
          <w:b/>
          <w:i/>
          <w:iCs/>
        </w:rPr>
        <w:t xml:space="preserve"> Josip Franić</w:t>
      </w:r>
      <w:r w:rsidR="00297BC1" w:rsidRPr="006C2C8A">
        <w:rPr>
          <w:rFonts w:ascii="Arial" w:hAnsi="Arial" w:cs="Arial"/>
          <w:b/>
          <w:i/>
          <w:iCs/>
        </w:rPr>
        <w:t xml:space="preserve"> </w:t>
      </w:r>
      <w:r w:rsidR="00F13487" w:rsidRPr="00D614AD">
        <w:rPr>
          <w:rFonts w:ascii="Arial" w:hAnsi="Arial" w:cs="Arial"/>
          <w:bCs/>
          <w:i/>
          <w:iCs/>
        </w:rPr>
        <w:t>komentiraju najnovije rezultate posljednjeg</w:t>
      </w:r>
      <w:r w:rsidR="009165ED" w:rsidRPr="00D614AD">
        <w:rPr>
          <w:rFonts w:ascii="Arial" w:hAnsi="Arial" w:cs="Arial"/>
          <w:bCs/>
          <w:i/>
          <w:iCs/>
        </w:rPr>
        <w:t>a</w:t>
      </w:r>
      <w:r w:rsidR="00F13487" w:rsidRPr="00D614AD">
        <w:rPr>
          <w:rFonts w:ascii="Arial" w:hAnsi="Arial" w:cs="Arial"/>
          <w:bCs/>
          <w:i/>
          <w:iCs/>
        </w:rPr>
        <w:t xml:space="preserve"> kruga međunarodnog</w:t>
      </w:r>
      <w:r w:rsidR="007A78DC" w:rsidRPr="00D614AD">
        <w:rPr>
          <w:rFonts w:ascii="Arial" w:hAnsi="Arial" w:cs="Arial"/>
          <w:bCs/>
          <w:i/>
          <w:iCs/>
        </w:rPr>
        <w:t>a</w:t>
      </w:r>
      <w:r w:rsidR="00F13487" w:rsidRPr="00D614AD">
        <w:rPr>
          <w:rFonts w:ascii="Arial" w:hAnsi="Arial" w:cs="Arial"/>
          <w:bCs/>
          <w:i/>
          <w:iCs/>
        </w:rPr>
        <w:t xml:space="preserve"> istraživanja International Budget </w:t>
      </w:r>
      <w:proofErr w:type="spellStart"/>
      <w:r w:rsidR="00F13487" w:rsidRPr="00D614AD">
        <w:rPr>
          <w:rFonts w:ascii="Arial" w:hAnsi="Arial" w:cs="Arial"/>
          <w:bCs/>
          <w:i/>
          <w:iCs/>
        </w:rPr>
        <w:t>Partnership</w:t>
      </w:r>
      <w:proofErr w:type="spellEnd"/>
      <w:r w:rsidR="00F13487" w:rsidRPr="00D614AD">
        <w:rPr>
          <w:rFonts w:ascii="Arial" w:hAnsi="Arial" w:cs="Arial"/>
          <w:bCs/>
          <w:i/>
          <w:iCs/>
        </w:rPr>
        <w:t>-a</w:t>
      </w:r>
      <w:bookmarkStart w:id="0" w:name="_Hlk160794313"/>
      <w:r w:rsidR="00F13487" w:rsidRPr="00D614AD">
        <w:rPr>
          <w:rFonts w:ascii="Arial" w:hAnsi="Arial" w:cs="Arial"/>
          <w:bCs/>
          <w:i/>
          <w:iCs/>
        </w:rPr>
        <w:t xml:space="preserve"> o otvorenosti proračuna središnje države.</w:t>
      </w:r>
    </w:p>
    <w:p w14:paraId="0C48B9C1" w14:textId="5CE13185" w:rsidR="00F13487" w:rsidRPr="00D614AD" w:rsidRDefault="00F13487" w:rsidP="006C2C8A">
      <w:pPr>
        <w:spacing w:after="0" w:line="300" w:lineRule="atLeast"/>
        <w:rPr>
          <w:rFonts w:ascii="Arial" w:hAnsi="Arial" w:cs="Arial"/>
          <w:bCs/>
          <w:i/>
        </w:rPr>
      </w:pPr>
      <w:r w:rsidRPr="00D614AD">
        <w:rPr>
          <w:rFonts w:ascii="Arial" w:hAnsi="Arial" w:cs="Arial"/>
          <w:bCs/>
          <w:i/>
        </w:rPr>
        <w:t>Hrvatska je sa 67 bodova (od mogućih 100) zauzela 24. mjesto među 125 analiziranih zem</w:t>
      </w:r>
      <w:r w:rsidR="0006203A" w:rsidRPr="00D614AD">
        <w:rPr>
          <w:rFonts w:ascii="Arial" w:hAnsi="Arial" w:cs="Arial"/>
          <w:bCs/>
          <w:i/>
        </w:rPr>
        <w:t>a</w:t>
      </w:r>
      <w:r w:rsidRPr="00D614AD">
        <w:rPr>
          <w:rFonts w:ascii="Arial" w:hAnsi="Arial" w:cs="Arial"/>
          <w:bCs/>
          <w:i/>
        </w:rPr>
        <w:t xml:space="preserve">lja. Premda se radi o povećanju od tri boda u odnosu na prethodni krug istraživanja </w:t>
      </w:r>
      <w:r w:rsidR="0006203A" w:rsidRPr="00D614AD">
        <w:rPr>
          <w:rFonts w:ascii="Arial" w:hAnsi="Arial" w:cs="Arial"/>
          <w:bCs/>
          <w:i/>
        </w:rPr>
        <w:t>iz 2021. godine</w:t>
      </w:r>
      <w:r w:rsidRPr="00D614AD">
        <w:rPr>
          <w:rFonts w:ascii="Arial" w:hAnsi="Arial" w:cs="Arial"/>
          <w:bCs/>
          <w:i/>
        </w:rPr>
        <w:t>, još uvijek postoji znatan prostor za poboljšanj</w:t>
      </w:r>
      <w:r w:rsidR="009165ED" w:rsidRPr="00D614AD">
        <w:rPr>
          <w:rFonts w:ascii="Arial" w:hAnsi="Arial" w:cs="Arial"/>
          <w:bCs/>
          <w:i/>
        </w:rPr>
        <w:t>e</w:t>
      </w:r>
      <w:r w:rsidRPr="00D614AD">
        <w:rPr>
          <w:rFonts w:ascii="Arial" w:hAnsi="Arial" w:cs="Arial"/>
          <w:bCs/>
          <w:i/>
        </w:rPr>
        <w:t xml:space="preserve">, ne samo </w:t>
      </w:r>
      <w:r w:rsidR="009165ED" w:rsidRPr="00D614AD">
        <w:rPr>
          <w:rFonts w:ascii="Arial" w:hAnsi="Arial" w:cs="Arial"/>
          <w:bCs/>
          <w:i/>
        </w:rPr>
        <w:t>u vezi s</w:t>
      </w:r>
      <w:r w:rsidRPr="00D614AD">
        <w:rPr>
          <w:rFonts w:ascii="Arial" w:hAnsi="Arial" w:cs="Arial"/>
          <w:bCs/>
          <w:i/>
        </w:rPr>
        <w:t xml:space="preserve"> objav</w:t>
      </w:r>
      <w:r w:rsidR="009165ED" w:rsidRPr="00D614AD">
        <w:rPr>
          <w:rFonts w:ascii="Arial" w:hAnsi="Arial" w:cs="Arial"/>
          <w:bCs/>
          <w:i/>
        </w:rPr>
        <w:t>om</w:t>
      </w:r>
      <w:r w:rsidRPr="00D614AD">
        <w:rPr>
          <w:rFonts w:ascii="Arial" w:hAnsi="Arial" w:cs="Arial"/>
          <w:bCs/>
          <w:i/>
        </w:rPr>
        <w:t xml:space="preserve"> pravovremenih i građanima razumljivih informacija o prikupljanju i potrošnji proračunskih sredstava</w:t>
      </w:r>
      <w:r w:rsidR="009165ED" w:rsidRPr="00D614AD">
        <w:rPr>
          <w:rFonts w:ascii="Arial" w:hAnsi="Arial" w:cs="Arial"/>
          <w:bCs/>
          <w:i/>
        </w:rPr>
        <w:t xml:space="preserve"> nego</w:t>
      </w:r>
      <w:r w:rsidR="0006203A" w:rsidRPr="00D614AD">
        <w:rPr>
          <w:rFonts w:ascii="Arial" w:hAnsi="Arial" w:cs="Arial"/>
          <w:bCs/>
          <w:i/>
        </w:rPr>
        <w:t xml:space="preserve"> </w:t>
      </w:r>
      <w:r w:rsidRPr="00D614AD">
        <w:rPr>
          <w:rFonts w:ascii="Arial" w:hAnsi="Arial" w:cs="Arial"/>
          <w:bCs/>
          <w:i/>
        </w:rPr>
        <w:t>i kad</w:t>
      </w:r>
      <w:r w:rsidR="009165ED" w:rsidRPr="00D614AD">
        <w:rPr>
          <w:rFonts w:ascii="Arial" w:hAnsi="Arial" w:cs="Arial"/>
          <w:bCs/>
          <w:i/>
        </w:rPr>
        <w:t>a</w:t>
      </w:r>
      <w:r w:rsidRPr="00D614AD">
        <w:rPr>
          <w:rFonts w:ascii="Arial" w:hAnsi="Arial" w:cs="Arial"/>
          <w:bCs/>
          <w:i/>
        </w:rPr>
        <w:t xml:space="preserve"> je riječ o </w:t>
      </w:r>
      <w:r w:rsidR="00B96EB5" w:rsidRPr="00D614AD">
        <w:rPr>
          <w:rFonts w:ascii="Arial" w:hAnsi="Arial" w:cs="Arial"/>
          <w:bCs/>
          <w:i/>
        </w:rPr>
        <w:t xml:space="preserve">nadzoru </w:t>
      </w:r>
      <w:r w:rsidR="004A59F7" w:rsidRPr="00D614AD">
        <w:rPr>
          <w:rFonts w:ascii="Arial" w:hAnsi="Arial" w:cs="Arial"/>
          <w:bCs/>
          <w:i/>
        </w:rPr>
        <w:t xml:space="preserve">proračuna i </w:t>
      </w:r>
      <w:r w:rsidRPr="00D614AD">
        <w:rPr>
          <w:rFonts w:ascii="Arial" w:hAnsi="Arial" w:cs="Arial"/>
          <w:bCs/>
          <w:i/>
        </w:rPr>
        <w:t>uključivanju javnosti u proračunske procese.</w:t>
      </w:r>
    </w:p>
    <w:p w14:paraId="489C6B7C" w14:textId="77777777" w:rsidR="0082517C" w:rsidRPr="00D614AD" w:rsidRDefault="0082517C" w:rsidP="006C2C8A">
      <w:pPr>
        <w:pStyle w:val="Paragrafbody"/>
        <w:spacing w:after="0" w:line="300" w:lineRule="atLeast"/>
        <w:rPr>
          <w:rFonts w:ascii="Arial" w:hAnsi="Arial" w:cs="Arial"/>
          <w:sz w:val="22"/>
          <w:szCs w:val="22"/>
          <w:lang w:val="hr-HR"/>
        </w:rPr>
      </w:pPr>
    </w:p>
    <w:p w14:paraId="74DEF690" w14:textId="08A6D6B1" w:rsidR="0082517C" w:rsidRPr="00D614AD" w:rsidRDefault="00B96EB5" w:rsidP="00CC65E8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u w:color="000000"/>
        </w:rPr>
      </w:pPr>
      <w:r w:rsidRPr="00D614AD">
        <w:rPr>
          <w:rFonts w:ascii="Arial" w:hAnsi="Arial" w:cs="Arial"/>
          <w:u w:color="000000"/>
        </w:rPr>
        <w:t>Indeks otvorenosti proračuna jedini je neovisni i međunarodno usporediv</w:t>
      </w:r>
      <w:r w:rsidR="00CE45CB" w:rsidRPr="00D614AD">
        <w:rPr>
          <w:rFonts w:ascii="Arial" w:hAnsi="Arial" w:cs="Arial"/>
          <w:u w:color="000000"/>
        </w:rPr>
        <w:t>i</w:t>
      </w:r>
      <w:r w:rsidRPr="00D614AD">
        <w:rPr>
          <w:rFonts w:ascii="Arial" w:hAnsi="Arial" w:cs="Arial"/>
          <w:u w:color="000000"/>
        </w:rPr>
        <w:t xml:space="preserve"> pokazatelj sveobuhvatnosti i kvalitete online informacija o proračunu središnje države. Objavljuje se kontinuirano od 2006. godine, a računa se </w:t>
      </w:r>
      <w:r w:rsidR="009165ED" w:rsidRPr="00D614AD">
        <w:rPr>
          <w:rFonts w:ascii="Arial" w:hAnsi="Arial" w:cs="Arial"/>
          <w:u w:color="000000"/>
        </w:rPr>
        <w:t xml:space="preserve">na </w:t>
      </w:r>
      <w:r w:rsidRPr="00D614AD">
        <w:rPr>
          <w:rFonts w:ascii="Arial" w:hAnsi="Arial" w:cs="Arial"/>
          <w:u w:color="000000"/>
        </w:rPr>
        <w:t>temelj</w:t>
      </w:r>
      <w:r w:rsidR="009165ED" w:rsidRPr="00D614AD">
        <w:rPr>
          <w:rFonts w:ascii="Arial" w:hAnsi="Arial" w:cs="Arial"/>
          <w:u w:color="000000"/>
        </w:rPr>
        <w:t>u</w:t>
      </w:r>
      <w:r w:rsidRPr="00D614AD">
        <w:rPr>
          <w:rFonts w:ascii="Arial" w:hAnsi="Arial" w:cs="Arial"/>
          <w:u w:color="000000"/>
        </w:rPr>
        <w:t xml:space="preserve"> odgovora na 109 pitanja kojima se ocjenjuje dostupnost, pravovremenost objave te iscrpnost osam proračunskih dokumenata: programa konvergencije, prijedloga proračuna, usvojenog</w:t>
      </w:r>
      <w:r w:rsidR="00805583" w:rsidRPr="00D614AD">
        <w:rPr>
          <w:rFonts w:ascii="Arial" w:hAnsi="Arial" w:cs="Arial"/>
          <w:u w:color="000000"/>
        </w:rPr>
        <w:t>a</w:t>
      </w:r>
      <w:r w:rsidRPr="00D614AD">
        <w:rPr>
          <w:rFonts w:ascii="Arial" w:hAnsi="Arial" w:cs="Arial"/>
          <w:u w:color="000000"/>
        </w:rPr>
        <w:t xml:space="preserve"> proračuna, proračunskog</w:t>
      </w:r>
      <w:r w:rsidR="00805583" w:rsidRPr="00D614AD">
        <w:rPr>
          <w:rFonts w:ascii="Arial" w:hAnsi="Arial" w:cs="Arial"/>
          <w:u w:color="000000"/>
        </w:rPr>
        <w:t>a</w:t>
      </w:r>
      <w:r w:rsidRPr="00D614AD">
        <w:rPr>
          <w:rFonts w:ascii="Arial" w:hAnsi="Arial" w:cs="Arial"/>
          <w:u w:color="000000"/>
        </w:rPr>
        <w:t xml:space="preserve"> vodiča za građane, mjesečnih izvješća, polugodišnjeg</w:t>
      </w:r>
      <w:r w:rsidR="00805583" w:rsidRPr="00D614AD">
        <w:rPr>
          <w:rFonts w:ascii="Arial" w:hAnsi="Arial" w:cs="Arial"/>
          <w:u w:color="000000"/>
        </w:rPr>
        <w:t>a</w:t>
      </w:r>
      <w:r w:rsidRPr="00D614AD">
        <w:rPr>
          <w:rFonts w:ascii="Arial" w:hAnsi="Arial" w:cs="Arial"/>
          <w:u w:color="000000"/>
        </w:rPr>
        <w:t xml:space="preserve"> izvješća o izvršenju proračuna, godišnjeg</w:t>
      </w:r>
      <w:r w:rsidR="00805583" w:rsidRPr="00D614AD">
        <w:rPr>
          <w:rFonts w:ascii="Arial" w:hAnsi="Arial" w:cs="Arial"/>
          <w:u w:color="000000"/>
        </w:rPr>
        <w:t>a</w:t>
      </w:r>
      <w:r w:rsidRPr="00D614AD">
        <w:rPr>
          <w:rFonts w:ascii="Arial" w:hAnsi="Arial" w:cs="Arial"/>
          <w:u w:color="000000"/>
        </w:rPr>
        <w:t xml:space="preserve"> izvješća o izvršenju proračuna te izvješća o obavljenoj reviziji. Rezultat je iskazan na ljestvici od 0 do 100, pri čemu v</w:t>
      </w:r>
      <w:r w:rsidR="00805583" w:rsidRPr="00D614AD">
        <w:rPr>
          <w:rFonts w:ascii="Arial" w:hAnsi="Arial" w:cs="Arial"/>
          <w:u w:color="000000"/>
        </w:rPr>
        <w:t>iše</w:t>
      </w:r>
      <w:r w:rsidRPr="00D614AD">
        <w:rPr>
          <w:rFonts w:ascii="Arial" w:hAnsi="Arial" w:cs="Arial"/>
          <w:u w:color="000000"/>
        </w:rPr>
        <w:t xml:space="preserve"> vrijednosti sugeriraju višu razinu otvorenosti. </w:t>
      </w:r>
    </w:p>
    <w:p w14:paraId="6B2F8D45" w14:textId="77777777" w:rsidR="00B96EB5" w:rsidRPr="00D614AD" w:rsidRDefault="00B96EB5" w:rsidP="00CC65E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7C099B9" w14:textId="0089DF5A" w:rsidR="00F14733" w:rsidRPr="00D614AD" w:rsidRDefault="00D90B74" w:rsidP="006C2C8A">
      <w:pPr>
        <w:pStyle w:val="Paragrafbody"/>
        <w:spacing w:after="0" w:line="300" w:lineRule="atLeast"/>
        <w:rPr>
          <w:rFonts w:ascii="Arial" w:hAnsi="Arial" w:cs="Arial"/>
          <w:sz w:val="22"/>
          <w:szCs w:val="22"/>
          <w:lang w:val="hr-HR"/>
        </w:rPr>
      </w:pPr>
      <w:r w:rsidRPr="00D614AD">
        <w:rPr>
          <w:rFonts w:ascii="Arial" w:hAnsi="Arial" w:cs="Arial"/>
          <w:sz w:val="22"/>
          <w:szCs w:val="22"/>
          <w:lang w:val="hr-HR"/>
        </w:rPr>
        <w:t>Na globalnoj razini r</w:t>
      </w:r>
      <w:r w:rsidR="00F14733" w:rsidRPr="00D614AD">
        <w:rPr>
          <w:rFonts w:ascii="Arial" w:hAnsi="Arial" w:cs="Arial"/>
          <w:sz w:val="22"/>
          <w:szCs w:val="22"/>
          <w:lang w:val="hr-HR"/>
        </w:rPr>
        <w:t>ezultati istraživanja za 2023. ponovno ne pružaju razlog za optimizam. Prosječna vrijednost Indeksa za svih 125 uključenih zemalja i ovaj put iznosi 45, baš kao što je to bio slučaj u prethodn</w:t>
      </w:r>
      <w:r w:rsidR="009165ED" w:rsidRPr="00D614AD">
        <w:rPr>
          <w:rFonts w:ascii="Arial" w:hAnsi="Arial" w:cs="Arial"/>
          <w:sz w:val="22"/>
          <w:szCs w:val="22"/>
          <w:lang w:val="hr-HR"/>
        </w:rPr>
        <w:t>im</w:t>
      </w:r>
      <w:r w:rsidR="00F14733" w:rsidRPr="00D614AD">
        <w:rPr>
          <w:rFonts w:ascii="Arial" w:hAnsi="Arial" w:cs="Arial"/>
          <w:sz w:val="22"/>
          <w:szCs w:val="22"/>
          <w:lang w:val="hr-HR"/>
        </w:rPr>
        <w:t xml:space="preserve"> dva</w:t>
      </w:r>
      <w:r w:rsidR="009165ED" w:rsidRPr="00D614AD">
        <w:rPr>
          <w:rFonts w:ascii="Arial" w:hAnsi="Arial" w:cs="Arial"/>
          <w:sz w:val="22"/>
          <w:szCs w:val="22"/>
          <w:lang w:val="hr-HR"/>
        </w:rPr>
        <w:t>ma</w:t>
      </w:r>
      <w:r w:rsidR="00F14733" w:rsidRPr="00D614AD">
        <w:rPr>
          <w:rFonts w:ascii="Arial" w:hAnsi="Arial" w:cs="Arial"/>
          <w:sz w:val="22"/>
          <w:szCs w:val="22"/>
          <w:lang w:val="hr-HR"/>
        </w:rPr>
        <w:t xml:space="preserve"> krug</w:t>
      </w:r>
      <w:r w:rsidR="009165ED" w:rsidRPr="00D614AD">
        <w:rPr>
          <w:rFonts w:ascii="Arial" w:hAnsi="Arial" w:cs="Arial"/>
          <w:sz w:val="22"/>
          <w:szCs w:val="22"/>
          <w:lang w:val="hr-HR"/>
        </w:rPr>
        <w:t>ovima</w:t>
      </w:r>
      <w:r w:rsidR="00F14733" w:rsidRPr="00D614AD">
        <w:rPr>
          <w:rFonts w:ascii="Arial" w:hAnsi="Arial" w:cs="Arial"/>
          <w:sz w:val="22"/>
          <w:szCs w:val="22"/>
          <w:lang w:val="hr-HR"/>
        </w:rPr>
        <w:t>. Drugim riječima, stanovnicima analiziranih zemalja u prosjeku je opet na raspolaganju bilo samo 45% ključnih informacija o prihodima i rashodima proračuna</w:t>
      </w:r>
      <w:r w:rsidR="004A59F7" w:rsidRPr="00D614AD">
        <w:rPr>
          <w:rFonts w:ascii="Arial" w:hAnsi="Arial" w:cs="Arial"/>
          <w:sz w:val="22"/>
          <w:szCs w:val="22"/>
          <w:lang w:val="hr-HR"/>
        </w:rPr>
        <w:t xml:space="preserve"> središnje države</w:t>
      </w:r>
      <w:r w:rsidR="00F14733" w:rsidRPr="00D614AD">
        <w:rPr>
          <w:rFonts w:ascii="Arial" w:hAnsi="Arial" w:cs="Arial"/>
          <w:sz w:val="22"/>
          <w:szCs w:val="22"/>
          <w:lang w:val="hr-HR"/>
        </w:rPr>
        <w:t>. Kao i u ranijim krugovima, najbolje rezultate zabilježili su Gruzija (87), Novi Zeland (87), Švedska (85) i Južnoafrička Republika (83) dok su se na začelju ljestvice smjestili Afganistan, Jemen i Venezuela, čije vlasti svojim građanima ne objavljuju pravovremeno baš nikakve informacije o proračunu</w:t>
      </w:r>
      <w:r w:rsidR="004A59F7" w:rsidRPr="00D614AD">
        <w:rPr>
          <w:rFonts w:ascii="Arial" w:hAnsi="Arial" w:cs="Arial"/>
          <w:sz w:val="22"/>
          <w:szCs w:val="22"/>
          <w:lang w:val="hr-HR"/>
        </w:rPr>
        <w:t xml:space="preserve"> središnje države</w:t>
      </w:r>
      <w:r w:rsidR="00F14733" w:rsidRPr="00D614AD">
        <w:rPr>
          <w:rFonts w:ascii="Arial" w:hAnsi="Arial" w:cs="Arial"/>
          <w:sz w:val="22"/>
          <w:szCs w:val="22"/>
          <w:lang w:val="hr-HR"/>
        </w:rPr>
        <w:t>.</w:t>
      </w:r>
    </w:p>
    <w:p w14:paraId="03B3A0B9" w14:textId="77777777" w:rsidR="0082517C" w:rsidRPr="00D614AD" w:rsidRDefault="0082517C" w:rsidP="006C2C8A">
      <w:pPr>
        <w:pStyle w:val="Paragrafbody"/>
        <w:spacing w:after="0" w:line="300" w:lineRule="atLeast"/>
        <w:rPr>
          <w:rFonts w:ascii="Arial" w:hAnsi="Arial" w:cs="Arial"/>
          <w:sz w:val="22"/>
          <w:szCs w:val="22"/>
          <w:lang w:val="hr-HR"/>
        </w:rPr>
      </w:pPr>
    </w:p>
    <w:p w14:paraId="34E352FE" w14:textId="6D4F2E48" w:rsidR="00B96EB5" w:rsidRPr="00D614AD" w:rsidRDefault="0006203A" w:rsidP="006C2C8A">
      <w:pPr>
        <w:pStyle w:val="Paragrafbody"/>
        <w:spacing w:after="0" w:line="300" w:lineRule="atLeast"/>
        <w:rPr>
          <w:rFonts w:ascii="Arial" w:hAnsi="Arial" w:cs="Arial"/>
          <w:sz w:val="22"/>
          <w:szCs w:val="22"/>
          <w:lang w:val="hr-HR"/>
        </w:rPr>
      </w:pPr>
      <w:r w:rsidRPr="00D614AD">
        <w:rPr>
          <w:rFonts w:ascii="Arial" w:hAnsi="Arial" w:cs="Arial"/>
          <w:sz w:val="22"/>
          <w:szCs w:val="22"/>
          <w:lang w:val="hr-HR"/>
        </w:rPr>
        <w:t xml:space="preserve">Premda Hrvatsku 67 osvojenih bodova svrstava među zemlje koje objavljuju „značajnu količinu proračunskih informacija“, važno je napomenuti kako je ranijih godina bilježila i bolje rezultate. Primjerice, 2019. godine Hrvatska je sa 68 bodova zauzela 21. mjesto na svjetskoj ljestvici. </w:t>
      </w:r>
      <w:r w:rsidR="007A78DC" w:rsidRPr="00D614AD">
        <w:rPr>
          <w:rFonts w:ascii="Arial" w:hAnsi="Arial" w:cs="Arial"/>
          <w:sz w:val="22"/>
          <w:szCs w:val="22"/>
          <w:lang w:val="hr-HR"/>
        </w:rPr>
        <w:t>U skladu s tim</w:t>
      </w:r>
      <w:r w:rsidRPr="00D614AD">
        <w:rPr>
          <w:rFonts w:ascii="Arial" w:hAnsi="Arial" w:cs="Arial"/>
          <w:sz w:val="22"/>
          <w:szCs w:val="22"/>
          <w:lang w:val="hr-HR"/>
        </w:rPr>
        <w:t xml:space="preserve">, može se zaključiti da nije bilo </w:t>
      </w:r>
      <w:r w:rsidR="009165ED" w:rsidRPr="00D614AD">
        <w:rPr>
          <w:rFonts w:ascii="Arial" w:hAnsi="Arial" w:cs="Arial"/>
          <w:sz w:val="22"/>
          <w:szCs w:val="22"/>
          <w:lang w:val="hr-HR"/>
        </w:rPr>
        <w:t>važnijega</w:t>
      </w:r>
      <w:r w:rsidRPr="00D614AD">
        <w:rPr>
          <w:rFonts w:ascii="Arial" w:hAnsi="Arial" w:cs="Arial"/>
          <w:sz w:val="22"/>
          <w:szCs w:val="22"/>
          <w:lang w:val="hr-HR"/>
        </w:rPr>
        <w:t xml:space="preserve"> pomaka u posljednje vrijeme. </w:t>
      </w:r>
    </w:p>
    <w:p w14:paraId="12E45320" w14:textId="77777777" w:rsidR="00B96EB5" w:rsidRPr="00D614AD" w:rsidRDefault="00B96EB5" w:rsidP="006C2C8A">
      <w:pPr>
        <w:pStyle w:val="Paragrafbody"/>
        <w:spacing w:after="0" w:line="300" w:lineRule="atLeast"/>
        <w:rPr>
          <w:rFonts w:ascii="Arial" w:hAnsi="Arial" w:cs="Arial"/>
          <w:sz w:val="22"/>
          <w:szCs w:val="22"/>
          <w:lang w:val="hr-HR"/>
        </w:rPr>
      </w:pPr>
    </w:p>
    <w:p w14:paraId="066AC60A" w14:textId="07825805" w:rsidR="0006203A" w:rsidRPr="00D614AD" w:rsidRDefault="00B96EB5" w:rsidP="006C2C8A">
      <w:pPr>
        <w:pStyle w:val="Paragrafbody"/>
        <w:spacing w:after="0" w:line="300" w:lineRule="atLeast"/>
        <w:rPr>
          <w:rFonts w:ascii="Arial" w:hAnsi="Arial" w:cs="Arial"/>
          <w:sz w:val="22"/>
          <w:szCs w:val="22"/>
          <w:lang w:val="hr-HR"/>
        </w:rPr>
      </w:pPr>
      <w:r w:rsidRPr="00D614AD">
        <w:rPr>
          <w:rFonts w:ascii="Arial" w:hAnsi="Arial" w:cs="Arial"/>
          <w:sz w:val="22"/>
          <w:szCs w:val="22"/>
          <w:lang w:val="hr-HR"/>
        </w:rPr>
        <w:lastRenderedPageBreak/>
        <w:t xml:space="preserve">Osim otvorenosti proračuna ovo </w:t>
      </w:r>
      <w:r w:rsidR="00CC65E8" w:rsidRPr="00D614AD">
        <w:rPr>
          <w:rFonts w:ascii="Arial" w:hAnsi="Arial" w:cs="Arial"/>
          <w:sz w:val="22"/>
          <w:szCs w:val="22"/>
          <w:lang w:val="hr-HR"/>
        </w:rPr>
        <w:t>i</w:t>
      </w:r>
      <w:r w:rsidRPr="00D614AD">
        <w:rPr>
          <w:rFonts w:ascii="Arial" w:hAnsi="Arial" w:cs="Arial"/>
          <w:sz w:val="22"/>
          <w:szCs w:val="22"/>
          <w:lang w:val="hr-HR"/>
        </w:rPr>
        <w:t>straživanje mjeri i koliko dobro Državni ured za reviziju i Sabor nadziru proračun središnje države, te kolike su mogućnosti uključivanja javnosti u proračunske procese.</w:t>
      </w:r>
    </w:p>
    <w:p w14:paraId="7DF80DE7" w14:textId="255CF238" w:rsidR="0006203A" w:rsidRPr="00D614AD" w:rsidRDefault="0006203A" w:rsidP="006C2C8A">
      <w:pPr>
        <w:spacing w:after="0" w:line="300" w:lineRule="atLeast"/>
        <w:rPr>
          <w:rFonts w:ascii="Arial" w:hAnsi="Arial" w:cs="Arial"/>
          <w:bCs/>
          <w:iCs/>
        </w:rPr>
      </w:pPr>
    </w:p>
    <w:p w14:paraId="584E4D66" w14:textId="1AA77F46" w:rsidR="00F13487" w:rsidRPr="00D614AD" w:rsidRDefault="00CC65E8" w:rsidP="006C2C8A">
      <w:pPr>
        <w:spacing w:after="0" w:line="300" w:lineRule="atLeast"/>
        <w:rPr>
          <w:rFonts w:ascii="Arial" w:hAnsi="Arial" w:cs="Arial"/>
          <w:bCs/>
          <w:iCs/>
        </w:rPr>
      </w:pPr>
      <w:r w:rsidRPr="00D614AD">
        <w:rPr>
          <w:rFonts w:ascii="Arial" w:hAnsi="Arial" w:cs="Arial"/>
          <w:bCs/>
          <w:iCs/>
        </w:rPr>
        <w:t>Na temelju rezultata istraživanja autori</w:t>
      </w:r>
      <w:r w:rsidR="00C53F8D" w:rsidRPr="00D614AD">
        <w:rPr>
          <w:rFonts w:ascii="Arial" w:hAnsi="Arial" w:cs="Arial"/>
          <w:bCs/>
          <w:iCs/>
        </w:rPr>
        <w:t xml:space="preserve"> </w:t>
      </w:r>
      <w:r w:rsidR="0082517C" w:rsidRPr="00D614AD">
        <w:rPr>
          <w:rFonts w:ascii="Arial" w:hAnsi="Arial" w:cs="Arial"/>
          <w:bCs/>
          <w:iCs/>
        </w:rPr>
        <w:t>navode k</w:t>
      </w:r>
      <w:r w:rsidR="00FA3E45" w:rsidRPr="00D614AD">
        <w:rPr>
          <w:rFonts w:ascii="Arial" w:hAnsi="Arial" w:cs="Arial"/>
          <w:bCs/>
          <w:iCs/>
        </w:rPr>
        <w:t>ljučne preporuke za poboljšanje otvorenosti proračuna središnje države</w:t>
      </w:r>
      <w:r w:rsidR="00F13487" w:rsidRPr="00D614AD">
        <w:rPr>
          <w:rFonts w:ascii="Arial" w:hAnsi="Arial" w:cs="Arial"/>
          <w:bCs/>
          <w:iCs/>
        </w:rPr>
        <w:t>:</w:t>
      </w:r>
    </w:p>
    <w:p w14:paraId="4EFC355E" w14:textId="21AC7192" w:rsidR="00F13487" w:rsidRPr="00D614AD" w:rsidRDefault="00F13487" w:rsidP="006C2C8A">
      <w:pPr>
        <w:numPr>
          <w:ilvl w:val="0"/>
          <w:numId w:val="4"/>
        </w:numPr>
        <w:spacing w:after="0" w:line="300" w:lineRule="atLeast"/>
        <w:ind w:left="572" w:hanging="357"/>
        <w:rPr>
          <w:rFonts w:ascii="Arial" w:hAnsi="Arial" w:cs="Arial"/>
          <w:bCs/>
          <w:iCs/>
        </w:rPr>
      </w:pPr>
      <w:r w:rsidRPr="00D614AD">
        <w:rPr>
          <w:rFonts w:ascii="Arial" w:hAnsi="Arial" w:cs="Arial"/>
          <w:bCs/>
          <w:iCs/>
        </w:rPr>
        <w:t>u prijedlog proračuna uključiti informacije o poreznim izdatcima, uz objašnjenje osnovnih ciljeva svakog</w:t>
      </w:r>
      <w:r w:rsidR="007A78DC" w:rsidRPr="00D614AD">
        <w:rPr>
          <w:rFonts w:ascii="Arial" w:hAnsi="Arial" w:cs="Arial"/>
          <w:bCs/>
          <w:iCs/>
        </w:rPr>
        <w:t>a</w:t>
      </w:r>
      <w:r w:rsidRPr="00D614AD">
        <w:rPr>
          <w:rFonts w:ascii="Arial" w:hAnsi="Arial" w:cs="Arial"/>
          <w:bCs/>
          <w:iCs/>
        </w:rPr>
        <w:t xml:space="preserve"> pojedinog</w:t>
      </w:r>
      <w:r w:rsidR="007A78DC" w:rsidRPr="00D614AD">
        <w:rPr>
          <w:rFonts w:ascii="Arial" w:hAnsi="Arial" w:cs="Arial"/>
          <w:bCs/>
          <w:iCs/>
        </w:rPr>
        <w:t>a</w:t>
      </w:r>
      <w:r w:rsidRPr="00D614AD">
        <w:rPr>
          <w:rFonts w:ascii="Arial" w:hAnsi="Arial" w:cs="Arial"/>
          <w:bCs/>
          <w:iCs/>
        </w:rPr>
        <w:t xml:space="preserve"> poreznog izdatka, ciljane skupine na koje se odnosi te procijenjenu visinu izgubljenih poreznih prihoda</w:t>
      </w:r>
    </w:p>
    <w:p w14:paraId="3C9845E5" w14:textId="28E62F2C" w:rsidR="00F13487" w:rsidRPr="00D614AD" w:rsidRDefault="00F13487" w:rsidP="006C2C8A">
      <w:pPr>
        <w:numPr>
          <w:ilvl w:val="0"/>
          <w:numId w:val="4"/>
        </w:numPr>
        <w:spacing w:after="0" w:line="300" w:lineRule="atLeast"/>
        <w:rPr>
          <w:rFonts w:ascii="Arial" w:hAnsi="Arial" w:cs="Arial"/>
          <w:bCs/>
          <w:iCs/>
        </w:rPr>
      </w:pPr>
      <w:r w:rsidRPr="00D614AD">
        <w:rPr>
          <w:rFonts w:ascii="Arial" w:hAnsi="Arial" w:cs="Arial"/>
          <w:bCs/>
          <w:iCs/>
        </w:rPr>
        <w:t xml:space="preserve">u prijedlog proračuna uključiti detaljne informacije o financijskoj imovini države (popis imovine i procjenu vrijednosti) i nefinancijskoj imovini države (popis imovine po kategorijama) </w:t>
      </w:r>
    </w:p>
    <w:p w14:paraId="452F3F28" w14:textId="67FC31D7" w:rsidR="0056153E" w:rsidRPr="00D614AD" w:rsidRDefault="00F13487" w:rsidP="006C2C8A">
      <w:pPr>
        <w:numPr>
          <w:ilvl w:val="0"/>
          <w:numId w:val="4"/>
        </w:numPr>
        <w:spacing w:after="0" w:line="300" w:lineRule="atLeast"/>
        <w:rPr>
          <w:rFonts w:ascii="Arial" w:hAnsi="Arial" w:cs="Arial"/>
          <w:bCs/>
          <w:iCs/>
        </w:rPr>
      </w:pPr>
      <w:r w:rsidRPr="00D614AD">
        <w:rPr>
          <w:rFonts w:ascii="Arial" w:hAnsi="Arial" w:cs="Arial"/>
          <w:bCs/>
          <w:iCs/>
        </w:rPr>
        <w:t>poboljšati sadržaj i sveobuhvatnost proračunskih vodiča za građane koje objavljuje Ministarstvo financija</w:t>
      </w:r>
      <w:r w:rsidR="007A78DC" w:rsidRPr="00D614AD">
        <w:rPr>
          <w:rFonts w:ascii="Arial" w:hAnsi="Arial" w:cs="Arial"/>
          <w:bCs/>
          <w:iCs/>
        </w:rPr>
        <w:t>,</w:t>
      </w:r>
      <w:r w:rsidRPr="00D614AD">
        <w:rPr>
          <w:rFonts w:ascii="Arial" w:hAnsi="Arial" w:cs="Arial"/>
          <w:bCs/>
          <w:iCs/>
        </w:rPr>
        <w:t xml:space="preserve"> </w:t>
      </w:r>
      <w:r w:rsidR="007A78DC" w:rsidRPr="00D614AD">
        <w:rPr>
          <w:rFonts w:ascii="Arial" w:hAnsi="Arial" w:cs="Arial"/>
          <w:bCs/>
          <w:iCs/>
        </w:rPr>
        <w:t>tako</w:t>
      </w:r>
      <w:r w:rsidRPr="00D614AD">
        <w:rPr>
          <w:rFonts w:ascii="Arial" w:hAnsi="Arial" w:cs="Arial"/>
          <w:bCs/>
          <w:iCs/>
        </w:rPr>
        <w:t xml:space="preserve"> da se uspostave mehanizmi za utvrđivanje informacija koje građani žele čitati u tim vodičima, da se vodiči objave na vidljivijim mjestima na mrežnim stranicama</w:t>
      </w:r>
      <w:r w:rsidR="007A78DC" w:rsidRPr="00D614AD">
        <w:rPr>
          <w:rFonts w:ascii="Arial" w:hAnsi="Arial" w:cs="Arial"/>
          <w:bCs/>
          <w:iCs/>
        </w:rPr>
        <w:t xml:space="preserve"> i</w:t>
      </w:r>
      <w:r w:rsidRPr="00D614AD">
        <w:rPr>
          <w:rFonts w:ascii="Arial" w:hAnsi="Arial" w:cs="Arial"/>
          <w:bCs/>
          <w:iCs/>
        </w:rPr>
        <w:t xml:space="preserve"> da se uz vodiče koje Ministarstvo financija već objavljuje objave </w:t>
      </w:r>
      <w:r w:rsidR="00D614AD">
        <w:rPr>
          <w:rFonts w:ascii="Arial" w:hAnsi="Arial" w:cs="Arial"/>
          <w:bCs/>
          <w:iCs/>
        </w:rPr>
        <w:br/>
      </w:r>
      <w:r w:rsidRPr="00D614AD">
        <w:rPr>
          <w:rFonts w:ascii="Arial" w:hAnsi="Arial" w:cs="Arial"/>
          <w:bCs/>
          <w:iCs/>
        </w:rPr>
        <w:t>i vodiči o prijedlogu državnog</w:t>
      </w:r>
      <w:r w:rsidR="007A78DC" w:rsidRPr="00D614AD">
        <w:rPr>
          <w:rFonts w:ascii="Arial" w:hAnsi="Arial" w:cs="Arial"/>
          <w:bCs/>
          <w:iCs/>
        </w:rPr>
        <w:t>a</w:t>
      </w:r>
      <w:r w:rsidRPr="00D614AD">
        <w:rPr>
          <w:rFonts w:ascii="Arial" w:hAnsi="Arial" w:cs="Arial"/>
          <w:bCs/>
          <w:iCs/>
        </w:rPr>
        <w:t xml:space="preserve"> proračuna i izvješću o reviziji državnog</w:t>
      </w:r>
      <w:r w:rsidR="007A78DC" w:rsidRPr="00D614AD">
        <w:rPr>
          <w:rFonts w:ascii="Arial" w:hAnsi="Arial" w:cs="Arial"/>
          <w:bCs/>
          <w:iCs/>
        </w:rPr>
        <w:t>a</w:t>
      </w:r>
      <w:r w:rsidRPr="00D614AD">
        <w:rPr>
          <w:rFonts w:ascii="Arial" w:hAnsi="Arial" w:cs="Arial"/>
          <w:bCs/>
          <w:iCs/>
        </w:rPr>
        <w:t xml:space="preserve"> proračuna</w:t>
      </w:r>
      <w:r w:rsidR="007A78DC" w:rsidRPr="00D614AD">
        <w:rPr>
          <w:rFonts w:ascii="Arial" w:hAnsi="Arial" w:cs="Arial"/>
          <w:bCs/>
          <w:iCs/>
        </w:rPr>
        <w:t xml:space="preserve"> te</w:t>
      </w:r>
    </w:p>
    <w:p w14:paraId="38BE2780" w14:textId="079C06F3" w:rsidR="00F13487" w:rsidRPr="00D614AD" w:rsidRDefault="00F13487" w:rsidP="006C2C8A">
      <w:pPr>
        <w:numPr>
          <w:ilvl w:val="0"/>
          <w:numId w:val="4"/>
        </w:numPr>
        <w:spacing w:after="0" w:line="300" w:lineRule="atLeast"/>
        <w:rPr>
          <w:rFonts w:ascii="Arial" w:hAnsi="Arial" w:cs="Arial"/>
          <w:bCs/>
          <w:iCs/>
        </w:rPr>
      </w:pPr>
      <w:r w:rsidRPr="00D614AD">
        <w:rPr>
          <w:rFonts w:ascii="Arial" w:hAnsi="Arial" w:cs="Arial"/>
          <w:bCs/>
          <w:iCs/>
        </w:rPr>
        <w:t xml:space="preserve">ponovno početi objavljivati </w:t>
      </w:r>
      <w:r w:rsidR="00C53F8D" w:rsidRPr="00D614AD">
        <w:rPr>
          <w:rFonts w:ascii="Arial" w:hAnsi="Arial" w:cs="Arial"/>
        </w:rPr>
        <w:t>Godišnjake</w:t>
      </w:r>
      <w:r w:rsidRPr="00D614AD">
        <w:rPr>
          <w:rFonts w:ascii="Arial" w:hAnsi="Arial" w:cs="Arial"/>
          <w:bCs/>
          <w:iCs/>
        </w:rPr>
        <w:t xml:space="preserve"> i </w:t>
      </w:r>
      <w:r w:rsidR="00C53F8D" w:rsidRPr="00D614AD">
        <w:rPr>
          <w:rFonts w:ascii="Arial" w:hAnsi="Arial" w:cs="Arial"/>
        </w:rPr>
        <w:t>Statističke prikaze</w:t>
      </w:r>
      <w:r w:rsidRPr="00D614AD">
        <w:rPr>
          <w:rFonts w:ascii="Arial" w:hAnsi="Arial" w:cs="Arial"/>
          <w:bCs/>
          <w:iCs/>
        </w:rPr>
        <w:t xml:space="preserve"> Ministarstva financija.</w:t>
      </w:r>
    </w:p>
    <w:p w14:paraId="01DCF23C" w14:textId="07C35F03" w:rsidR="00F13487" w:rsidRDefault="00F13487" w:rsidP="00F13487">
      <w:pPr>
        <w:rPr>
          <w:rFonts w:ascii="Arial" w:hAnsi="Arial" w:cs="Arial"/>
          <w:bCs/>
          <w:i/>
        </w:rPr>
      </w:pPr>
    </w:p>
    <w:p w14:paraId="6D20BB8C" w14:textId="5110FEDD" w:rsidR="00866DFA" w:rsidRDefault="00866DFA" w:rsidP="00F13487">
      <w:pPr>
        <w:rPr>
          <w:rFonts w:ascii="Arial" w:hAnsi="Arial" w:cs="Arial"/>
          <w:bCs/>
          <w:i/>
        </w:rPr>
      </w:pPr>
    </w:p>
    <w:p w14:paraId="140E447F" w14:textId="27B41377" w:rsidR="00D614AD" w:rsidRDefault="00D614AD" w:rsidP="00F13487">
      <w:pPr>
        <w:rPr>
          <w:rFonts w:ascii="Arial" w:hAnsi="Arial" w:cs="Arial"/>
          <w:bCs/>
          <w:i/>
        </w:rPr>
      </w:pPr>
    </w:p>
    <w:p w14:paraId="425B8031" w14:textId="77777777" w:rsidR="00D614AD" w:rsidRDefault="00D614AD" w:rsidP="00F13487">
      <w:pPr>
        <w:rPr>
          <w:rFonts w:ascii="Arial" w:hAnsi="Arial" w:cs="Arial"/>
          <w:bCs/>
          <w:i/>
        </w:rPr>
      </w:pPr>
    </w:p>
    <w:p w14:paraId="022ED16C" w14:textId="77777777" w:rsidR="00866DFA" w:rsidRDefault="00866DFA" w:rsidP="00F13487">
      <w:pPr>
        <w:rPr>
          <w:rFonts w:ascii="Arial" w:hAnsi="Arial" w:cs="Arial"/>
          <w:bCs/>
          <w:i/>
        </w:rPr>
      </w:pPr>
    </w:p>
    <w:bookmarkEnd w:id="0"/>
    <w:p w14:paraId="33920AD9" w14:textId="77777777" w:rsidR="00A15496" w:rsidRPr="00F45350" w:rsidRDefault="00A15496" w:rsidP="00A15496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71439403" w14:textId="224B8D7B" w:rsidR="00A15496" w:rsidRPr="00B719E5" w:rsidRDefault="00A15496" w:rsidP="00A15496">
      <w:pPr>
        <w:spacing w:after="0" w:line="240" w:lineRule="auto"/>
        <w:rPr>
          <w:rFonts w:ascii="Arial" w:hAnsi="Arial" w:cs="Arial"/>
          <w:color w:val="7F7F7F" w:themeColor="text1" w:themeTint="80"/>
          <w:sz w:val="18"/>
          <w:szCs w:val="18"/>
        </w:rPr>
      </w:pPr>
      <w:r w:rsidRPr="00F1654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9" w:history="1"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Public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0" w:history="1">
        <w:r w:rsidRPr="00F1654D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1" w:history="1">
        <w:r w:rsidRPr="00663E33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A15496" w:rsidRPr="00B719E5" w:rsidSect="00B83B16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09AB" w14:textId="77777777" w:rsidR="00F27C64" w:rsidRDefault="00F27C64" w:rsidP="00E1357A">
      <w:pPr>
        <w:spacing w:after="0" w:line="240" w:lineRule="auto"/>
      </w:pPr>
      <w:r>
        <w:separator/>
      </w:r>
    </w:p>
  </w:endnote>
  <w:endnote w:type="continuationSeparator" w:id="0">
    <w:p w14:paraId="3418C386" w14:textId="77777777" w:rsidR="00F27C64" w:rsidRDefault="00F27C64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47B5A711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Smičiklasova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0AF358B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d.d.</w:t>
    </w:r>
  </w:p>
  <w:p w14:paraId="3CA6025E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373A" w14:textId="77777777" w:rsidR="00F27C64" w:rsidRDefault="00F27C64" w:rsidP="00E1357A">
      <w:pPr>
        <w:spacing w:after="0" w:line="240" w:lineRule="auto"/>
      </w:pPr>
      <w:r>
        <w:separator/>
      </w:r>
    </w:p>
  </w:footnote>
  <w:footnote w:type="continuationSeparator" w:id="0">
    <w:p w14:paraId="1825C7E3" w14:textId="77777777" w:rsidR="00F27C64" w:rsidRDefault="00F27C64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699A5CCD">
          <wp:simplePos x="0" y="0"/>
          <wp:positionH relativeFrom="column">
            <wp:posOffset>-468630</wp:posOffset>
          </wp:positionH>
          <wp:positionV relativeFrom="paragraph">
            <wp:posOffset>-449580</wp:posOffset>
          </wp:positionV>
          <wp:extent cx="3169920" cy="1382395"/>
          <wp:effectExtent l="0" t="0" r="0" b="8255"/>
          <wp:wrapTight wrapText="bothSides">
            <wp:wrapPolygon edited="0">
              <wp:start x="0" y="0"/>
              <wp:lineTo x="0" y="21431"/>
              <wp:lineTo x="21418" y="21431"/>
              <wp:lineTo x="21418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3BF5"/>
    <w:multiLevelType w:val="hybridMultilevel"/>
    <w:tmpl w:val="B45C9D36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zQxMzE3Njc1NTBX0lEKTi0uzszPAykwrQUAZEt+biwAAAA="/>
  </w:docVars>
  <w:rsids>
    <w:rsidRoot w:val="0063685E"/>
    <w:rsid w:val="00001EB2"/>
    <w:rsid w:val="00015950"/>
    <w:rsid w:val="00026362"/>
    <w:rsid w:val="00030C4F"/>
    <w:rsid w:val="0004758B"/>
    <w:rsid w:val="000547FF"/>
    <w:rsid w:val="0006203A"/>
    <w:rsid w:val="00062219"/>
    <w:rsid w:val="00070F00"/>
    <w:rsid w:val="00077B90"/>
    <w:rsid w:val="0008180D"/>
    <w:rsid w:val="00097A35"/>
    <w:rsid w:val="000A293C"/>
    <w:rsid w:val="000A2AFA"/>
    <w:rsid w:val="000B24C4"/>
    <w:rsid w:val="000D08C2"/>
    <w:rsid w:val="000D28EA"/>
    <w:rsid w:val="000E21F0"/>
    <w:rsid w:val="000E5522"/>
    <w:rsid w:val="000F0E08"/>
    <w:rsid w:val="000F4B4B"/>
    <w:rsid w:val="000F6842"/>
    <w:rsid w:val="00101299"/>
    <w:rsid w:val="001339E9"/>
    <w:rsid w:val="0013646D"/>
    <w:rsid w:val="001372A1"/>
    <w:rsid w:val="00146714"/>
    <w:rsid w:val="00163FC6"/>
    <w:rsid w:val="00172E2A"/>
    <w:rsid w:val="001865D9"/>
    <w:rsid w:val="00187078"/>
    <w:rsid w:val="001B2602"/>
    <w:rsid w:val="001C410B"/>
    <w:rsid w:val="001D4ADC"/>
    <w:rsid w:val="001D72E0"/>
    <w:rsid w:val="001E783D"/>
    <w:rsid w:val="00217772"/>
    <w:rsid w:val="002212A5"/>
    <w:rsid w:val="00233F5E"/>
    <w:rsid w:val="002352BE"/>
    <w:rsid w:val="00252628"/>
    <w:rsid w:val="00267115"/>
    <w:rsid w:val="002718CE"/>
    <w:rsid w:val="00273518"/>
    <w:rsid w:val="00284AE2"/>
    <w:rsid w:val="00285C22"/>
    <w:rsid w:val="002911E0"/>
    <w:rsid w:val="00297211"/>
    <w:rsid w:val="00297BC1"/>
    <w:rsid w:val="002A72C3"/>
    <w:rsid w:val="002B516D"/>
    <w:rsid w:val="002B6C9E"/>
    <w:rsid w:val="002E7F7F"/>
    <w:rsid w:val="00304EFA"/>
    <w:rsid w:val="00305D6F"/>
    <w:rsid w:val="003136A7"/>
    <w:rsid w:val="00321274"/>
    <w:rsid w:val="00323A5E"/>
    <w:rsid w:val="00330832"/>
    <w:rsid w:val="0033491E"/>
    <w:rsid w:val="003457FF"/>
    <w:rsid w:val="0034634C"/>
    <w:rsid w:val="00351163"/>
    <w:rsid w:val="00367749"/>
    <w:rsid w:val="003714AB"/>
    <w:rsid w:val="00387A3E"/>
    <w:rsid w:val="003B4805"/>
    <w:rsid w:val="003B76B8"/>
    <w:rsid w:val="003C7701"/>
    <w:rsid w:val="003D0428"/>
    <w:rsid w:val="003E01C0"/>
    <w:rsid w:val="003F70E6"/>
    <w:rsid w:val="00405C40"/>
    <w:rsid w:val="00430EE4"/>
    <w:rsid w:val="00440A38"/>
    <w:rsid w:val="00450336"/>
    <w:rsid w:val="00450DC5"/>
    <w:rsid w:val="00483BA2"/>
    <w:rsid w:val="004A4567"/>
    <w:rsid w:val="004A59F7"/>
    <w:rsid w:val="004B3E1B"/>
    <w:rsid w:val="004F2DB7"/>
    <w:rsid w:val="00500B93"/>
    <w:rsid w:val="005241F5"/>
    <w:rsid w:val="005328FE"/>
    <w:rsid w:val="00541FD1"/>
    <w:rsid w:val="00542F9C"/>
    <w:rsid w:val="0054385D"/>
    <w:rsid w:val="00553985"/>
    <w:rsid w:val="005609A8"/>
    <w:rsid w:val="0056153E"/>
    <w:rsid w:val="005754E3"/>
    <w:rsid w:val="00596CCD"/>
    <w:rsid w:val="005E1A13"/>
    <w:rsid w:val="005F4F1D"/>
    <w:rsid w:val="0062246B"/>
    <w:rsid w:val="00626EAB"/>
    <w:rsid w:val="006323D2"/>
    <w:rsid w:val="0063685E"/>
    <w:rsid w:val="006420B5"/>
    <w:rsid w:val="006563AF"/>
    <w:rsid w:val="00664586"/>
    <w:rsid w:val="00667C35"/>
    <w:rsid w:val="00670452"/>
    <w:rsid w:val="0067266E"/>
    <w:rsid w:val="0068332B"/>
    <w:rsid w:val="00683A67"/>
    <w:rsid w:val="006952A6"/>
    <w:rsid w:val="006A01A9"/>
    <w:rsid w:val="006B034D"/>
    <w:rsid w:val="006B1742"/>
    <w:rsid w:val="006B2D5F"/>
    <w:rsid w:val="006C2C8A"/>
    <w:rsid w:val="006E3280"/>
    <w:rsid w:val="006F52A8"/>
    <w:rsid w:val="007121FA"/>
    <w:rsid w:val="0072473A"/>
    <w:rsid w:val="007475DA"/>
    <w:rsid w:val="007572F5"/>
    <w:rsid w:val="007624D3"/>
    <w:rsid w:val="00775604"/>
    <w:rsid w:val="007779A1"/>
    <w:rsid w:val="00780686"/>
    <w:rsid w:val="00785779"/>
    <w:rsid w:val="00792532"/>
    <w:rsid w:val="00793A2D"/>
    <w:rsid w:val="007A78DC"/>
    <w:rsid w:val="007B461E"/>
    <w:rsid w:val="00805583"/>
    <w:rsid w:val="008144FC"/>
    <w:rsid w:val="00817F11"/>
    <w:rsid w:val="0082517C"/>
    <w:rsid w:val="008325FD"/>
    <w:rsid w:val="00832C52"/>
    <w:rsid w:val="00837B78"/>
    <w:rsid w:val="00844DD4"/>
    <w:rsid w:val="00844F45"/>
    <w:rsid w:val="008505EE"/>
    <w:rsid w:val="00851258"/>
    <w:rsid w:val="00866DFA"/>
    <w:rsid w:val="0087441C"/>
    <w:rsid w:val="00883F10"/>
    <w:rsid w:val="00887002"/>
    <w:rsid w:val="008B1C22"/>
    <w:rsid w:val="008B4C0F"/>
    <w:rsid w:val="008B7158"/>
    <w:rsid w:val="008D4EA3"/>
    <w:rsid w:val="008E27B8"/>
    <w:rsid w:val="008F0291"/>
    <w:rsid w:val="009103E7"/>
    <w:rsid w:val="0091154A"/>
    <w:rsid w:val="00916122"/>
    <w:rsid w:val="009165ED"/>
    <w:rsid w:val="00932BA2"/>
    <w:rsid w:val="00934B7D"/>
    <w:rsid w:val="0093612C"/>
    <w:rsid w:val="00946C7B"/>
    <w:rsid w:val="009559B0"/>
    <w:rsid w:val="00963F69"/>
    <w:rsid w:val="0097370B"/>
    <w:rsid w:val="00997629"/>
    <w:rsid w:val="009A778B"/>
    <w:rsid w:val="009B30C8"/>
    <w:rsid w:val="009B5B5C"/>
    <w:rsid w:val="009D1CC8"/>
    <w:rsid w:val="009D71F1"/>
    <w:rsid w:val="009D7AC6"/>
    <w:rsid w:val="009E1367"/>
    <w:rsid w:val="009F22D7"/>
    <w:rsid w:val="009F306F"/>
    <w:rsid w:val="009F3E32"/>
    <w:rsid w:val="009F74EC"/>
    <w:rsid w:val="00A0238A"/>
    <w:rsid w:val="00A070CA"/>
    <w:rsid w:val="00A15496"/>
    <w:rsid w:val="00A25159"/>
    <w:rsid w:val="00A30986"/>
    <w:rsid w:val="00A32CED"/>
    <w:rsid w:val="00A472E9"/>
    <w:rsid w:val="00A547DB"/>
    <w:rsid w:val="00A57117"/>
    <w:rsid w:val="00A72EA0"/>
    <w:rsid w:val="00A7512D"/>
    <w:rsid w:val="00A839DB"/>
    <w:rsid w:val="00A93C14"/>
    <w:rsid w:val="00AB0CBC"/>
    <w:rsid w:val="00AB3485"/>
    <w:rsid w:val="00AD0B5E"/>
    <w:rsid w:val="00AD6182"/>
    <w:rsid w:val="00AE3157"/>
    <w:rsid w:val="00AF48B3"/>
    <w:rsid w:val="00B21D4C"/>
    <w:rsid w:val="00B2341C"/>
    <w:rsid w:val="00B261E1"/>
    <w:rsid w:val="00B343F6"/>
    <w:rsid w:val="00B456DF"/>
    <w:rsid w:val="00B671AE"/>
    <w:rsid w:val="00B719E5"/>
    <w:rsid w:val="00B83B16"/>
    <w:rsid w:val="00B96349"/>
    <w:rsid w:val="00B96EB5"/>
    <w:rsid w:val="00BA287B"/>
    <w:rsid w:val="00BA2E0F"/>
    <w:rsid w:val="00BE4212"/>
    <w:rsid w:val="00BF45F8"/>
    <w:rsid w:val="00C04E5E"/>
    <w:rsid w:val="00C17C4F"/>
    <w:rsid w:val="00C46FEB"/>
    <w:rsid w:val="00C51AD2"/>
    <w:rsid w:val="00C5343C"/>
    <w:rsid w:val="00C53F8D"/>
    <w:rsid w:val="00C60AC4"/>
    <w:rsid w:val="00C662B5"/>
    <w:rsid w:val="00C82FC8"/>
    <w:rsid w:val="00C85E14"/>
    <w:rsid w:val="00CA2119"/>
    <w:rsid w:val="00CC30F4"/>
    <w:rsid w:val="00CC65E8"/>
    <w:rsid w:val="00CE45CB"/>
    <w:rsid w:val="00D20A4A"/>
    <w:rsid w:val="00D359D9"/>
    <w:rsid w:val="00D468D8"/>
    <w:rsid w:val="00D47C28"/>
    <w:rsid w:val="00D57EE8"/>
    <w:rsid w:val="00D60B30"/>
    <w:rsid w:val="00D614AD"/>
    <w:rsid w:val="00D62694"/>
    <w:rsid w:val="00D83FB4"/>
    <w:rsid w:val="00D84B38"/>
    <w:rsid w:val="00D90B74"/>
    <w:rsid w:val="00D9558A"/>
    <w:rsid w:val="00DB06B0"/>
    <w:rsid w:val="00DD653E"/>
    <w:rsid w:val="00DE30D7"/>
    <w:rsid w:val="00E1357A"/>
    <w:rsid w:val="00E17329"/>
    <w:rsid w:val="00E20412"/>
    <w:rsid w:val="00E21C0F"/>
    <w:rsid w:val="00E33A6D"/>
    <w:rsid w:val="00E60367"/>
    <w:rsid w:val="00E76B4F"/>
    <w:rsid w:val="00E77AEB"/>
    <w:rsid w:val="00E85560"/>
    <w:rsid w:val="00E90D2B"/>
    <w:rsid w:val="00E9328A"/>
    <w:rsid w:val="00EB2774"/>
    <w:rsid w:val="00EC31E5"/>
    <w:rsid w:val="00EE132B"/>
    <w:rsid w:val="00EE4A38"/>
    <w:rsid w:val="00EE70A4"/>
    <w:rsid w:val="00EF0C51"/>
    <w:rsid w:val="00EF138D"/>
    <w:rsid w:val="00F01D2C"/>
    <w:rsid w:val="00F05ECE"/>
    <w:rsid w:val="00F11976"/>
    <w:rsid w:val="00F12740"/>
    <w:rsid w:val="00F129D6"/>
    <w:rsid w:val="00F13487"/>
    <w:rsid w:val="00F14733"/>
    <w:rsid w:val="00F14745"/>
    <w:rsid w:val="00F27A7C"/>
    <w:rsid w:val="00F27C64"/>
    <w:rsid w:val="00F302AD"/>
    <w:rsid w:val="00F409F8"/>
    <w:rsid w:val="00F53263"/>
    <w:rsid w:val="00F6634D"/>
    <w:rsid w:val="00F83274"/>
    <w:rsid w:val="00FA2A23"/>
    <w:rsid w:val="00FA33C2"/>
    <w:rsid w:val="00FA3E45"/>
    <w:rsid w:val="00FB0B6D"/>
    <w:rsid w:val="00FB2F38"/>
    <w:rsid w:val="00FD2F44"/>
    <w:rsid w:val="00FE01BF"/>
    <w:rsid w:val="00FE43C9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aliases w:val="Footnotes,Footnotes Char,Footnote Text Char Char,Footnotes Char Char,Tekst fusnote Char,Footnotes Char2,Footnotes Char Char2,Footnote Text Char Char Char1,fn,Footnote Text Char Char Char Char Char Char,single space,footnote text,FOOTNOTES"/>
    <w:basedOn w:val="Normal"/>
    <w:link w:val="FootnoteTextChar"/>
    <w:uiPriority w:val="99"/>
    <w:unhideWhenUsed/>
    <w:qFormat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1,Footnotes Char Char1,Footnote Text Char Char Char,Footnotes Char Char Char,Tekst fusnote Char Char,Footnotes Char2 Char,Footnotes Char Char2 Char,Footnote Text Char Char Char1 Char,fn Char,single space Char"/>
    <w:basedOn w:val="DefaultParagraphFont"/>
    <w:link w:val="FootnoteText"/>
    <w:uiPriority w:val="99"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1B2602"/>
    <w:pPr>
      <w:spacing w:after="0" w:line="240" w:lineRule="auto"/>
    </w:pPr>
    <w:rPr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F6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F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38646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f.hr/hr/publikacije/casopisi/osvrti-instituta-za-javne-financij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jf.hr/hr/publikacije/casopisi/newslet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-journal.hr/en/hom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BB6F-E92C-4BF5-9CAA-3A41AB0C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Marina Nekić</cp:lastModifiedBy>
  <cp:revision>9</cp:revision>
  <cp:lastPrinted>2021-12-06T07:52:00Z</cp:lastPrinted>
  <dcterms:created xsi:type="dcterms:W3CDTF">2024-06-03T07:00:00Z</dcterms:created>
  <dcterms:modified xsi:type="dcterms:W3CDTF">2024-06-03T07:04:00Z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