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333387D3" w:rsidR="00C85E14" w:rsidRPr="000F6842" w:rsidRDefault="00C85E14" w:rsidP="00C85E14">
      <w:pPr>
        <w:spacing w:line="240" w:lineRule="auto"/>
        <w:rPr>
          <w:rFonts w:ascii="Arial" w:hAnsi="Arial" w:cs="Arial"/>
          <w:sz w:val="20"/>
          <w:szCs w:val="20"/>
        </w:rPr>
      </w:pPr>
      <w:r w:rsidRPr="00A72EA0">
        <w:rPr>
          <w:rFonts w:ascii="Arial" w:hAnsi="Arial" w:cs="Arial"/>
          <w:sz w:val="20"/>
          <w:szCs w:val="20"/>
        </w:rPr>
        <w:t>Zagreb, 1</w:t>
      </w:r>
      <w:r w:rsidR="00A72EA0" w:rsidRPr="00A72EA0">
        <w:rPr>
          <w:rFonts w:ascii="Arial" w:hAnsi="Arial" w:cs="Arial"/>
          <w:sz w:val="20"/>
          <w:szCs w:val="20"/>
        </w:rPr>
        <w:t>4</w:t>
      </w:r>
      <w:r w:rsidRPr="00A72EA0">
        <w:rPr>
          <w:rFonts w:ascii="Arial" w:hAnsi="Arial" w:cs="Arial"/>
          <w:sz w:val="20"/>
          <w:szCs w:val="20"/>
        </w:rPr>
        <w:t>. studenoga 2023</w:t>
      </w:r>
      <w:r w:rsidR="00A72EA0" w:rsidRPr="00A72EA0">
        <w:rPr>
          <w:rFonts w:ascii="Arial" w:hAnsi="Arial" w:cs="Arial"/>
          <w:sz w:val="20"/>
          <w:szCs w:val="20"/>
        </w:rPr>
        <w:t>.</w:t>
      </w:r>
    </w:p>
    <w:p w14:paraId="5EAF4770" w14:textId="77777777" w:rsidR="00C85E14" w:rsidRDefault="00C85E14" w:rsidP="00297BC1">
      <w:pPr>
        <w:spacing w:after="0" w:line="240" w:lineRule="auto"/>
        <w:rPr>
          <w:rFonts w:ascii="Arial" w:hAnsi="Arial" w:cs="Arial"/>
          <w:b/>
          <w:smallCaps/>
        </w:rPr>
      </w:pPr>
    </w:p>
    <w:p w14:paraId="4E898297" w14:textId="07849528" w:rsidR="008D4EA3" w:rsidRPr="00780686" w:rsidRDefault="00780686" w:rsidP="00297B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0686">
        <w:rPr>
          <w:rFonts w:ascii="Arial" w:hAnsi="Arial" w:cs="Arial"/>
          <w:b/>
          <w:sz w:val="24"/>
          <w:szCs w:val="24"/>
        </w:rPr>
        <w:t>OBJAVA ZA MEDIJE</w:t>
      </w:r>
    </w:p>
    <w:p w14:paraId="7283775A" w14:textId="164D2000" w:rsidR="00321274" w:rsidRPr="00780686" w:rsidRDefault="00780686" w:rsidP="00297BC1">
      <w:pPr>
        <w:pBdr>
          <w:bottom w:val="single" w:sz="4" w:space="1" w:color="808080" w:themeColor="background1" w:themeShade="80"/>
        </w:pBd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780686">
        <w:rPr>
          <w:rFonts w:ascii="Arial" w:hAnsi="Arial" w:cs="Arial"/>
          <w:b/>
          <w:color w:val="C00000"/>
          <w:sz w:val="24"/>
          <w:szCs w:val="24"/>
        </w:rPr>
        <w:t xml:space="preserve">OSTVARENJE PRORAČUNA </w:t>
      </w:r>
      <w:r w:rsidR="00F27A7C">
        <w:rPr>
          <w:rFonts w:ascii="Arial" w:hAnsi="Arial" w:cs="Arial"/>
          <w:b/>
          <w:color w:val="C00000"/>
          <w:sz w:val="24"/>
          <w:szCs w:val="24"/>
        </w:rPr>
        <w:t>LOKALNIH JEDINICA</w:t>
      </w:r>
      <w:r w:rsidRPr="00780686">
        <w:rPr>
          <w:rFonts w:ascii="Arial" w:hAnsi="Arial" w:cs="Arial"/>
          <w:b/>
          <w:color w:val="C00000"/>
          <w:sz w:val="24"/>
          <w:szCs w:val="24"/>
        </w:rPr>
        <w:t xml:space="preserve"> U 2021. I 2022.</w:t>
      </w:r>
    </w:p>
    <w:p w14:paraId="2414BA5F" w14:textId="6499D3F7" w:rsidR="00297BC1" w:rsidRPr="00934B7D" w:rsidRDefault="00E17329" w:rsidP="00297BC1">
      <w:pPr>
        <w:spacing w:before="480" w:line="240" w:lineRule="auto"/>
        <w:rPr>
          <w:rFonts w:ascii="Arial" w:hAnsi="Arial" w:cs="Arial"/>
          <w:bCs/>
          <w:color w:val="000000" w:themeColor="text1"/>
          <w:spacing w:val="-6"/>
        </w:rPr>
      </w:pPr>
      <w:r w:rsidRPr="00934B7D">
        <w:rPr>
          <w:rFonts w:ascii="Arial" w:hAnsi="Arial" w:cs="Arial"/>
          <w:i/>
          <w:iCs/>
        </w:rPr>
        <w:t xml:space="preserve">U novom broju Osvrta Instituta za javne financije </w:t>
      </w:r>
      <w:r w:rsidR="00A070CA" w:rsidRPr="00A070CA">
        <w:rPr>
          <w:rFonts w:ascii="Arial" w:hAnsi="Arial" w:cs="Arial"/>
          <w:i/>
          <w:iCs/>
        </w:rPr>
        <w:t>ʺ</w:t>
      </w:r>
      <w:hyperlink r:id="rId8" w:history="1">
        <w:r w:rsidRPr="00A070CA">
          <w:rPr>
            <w:rStyle w:val="Hyperlink"/>
            <w:rFonts w:ascii="Arial" w:hAnsi="Arial" w:cs="Arial"/>
            <w:i/>
            <w:iCs/>
            <w:color w:val="C00000"/>
            <w:u w:val="none"/>
          </w:rPr>
          <w:t>Ostvarenje proračuna gradova, općina i županija u 202</w:t>
        </w:r>
        <w:r w:rsidR="00297BC1" w:rsidRPr="00A070CA">
          <w:rPr>
            <w:rStyle w:val="Hyperlink"/>
            <w:rFonts w:ascii="Arial" w:hAnsi="Arial" w:cs="Arial"/>
            <w:i/>
            <w:iCs/>
            <w:color w:val="C00000"/>
            <w:u w:val="none"/>
          </w:rPr>
          <w:t>1. i 2022</w:t>
        </w:r>
        <w:r w:rsidRPr="00A070CA">
          <w:rPr>
            <w:rStyle w:val="Hyperlink"/>
            <w:rFonts w:ascii="Arial" w:hAnsi="Arial" w:cs="Arial"/>
            <w:i/>
            <w:iCs/>
            <w:color w:val="C00000"/>
            <w:u w:val="none"/>
          </w:rPr>
          <w:t>.</w:t>
        </w:r>
      </w:hyperlink>
      <w:r w:rsidR="00A070CA">
        <w:rPr>
          <w:rFonts w:ascii="Arial" w:hAnsi="Arial" w:cs="Arial"/>
          <w:i/>
          <w:iCs/>
        </w:rPr>
        <w:t>ʺ</w:t>
      </w:r>
      <w:r w:rsidR="00450DC5" w:rsidRPr="00934B7D">
        <w:rPr>
          <w:rFonts w:ascii="Arial" w:hAnsi="Arial" w:cs="Arial"/>
          <w:i/>
          <w:iCs/>
          <w:color w:val="000000" w:themeColor="text1"/>
        </w:rPr>
        <w:t>,</w:t>
      </w:r>
      <w:r w:rsidRPr="00934B7D">
        <w:rPr>
          <w:rFonts w:ascii="Arial" w:hAnsi="Arial" w:cs="Arial"/>
          <w:i/>
          <w:iCs/>
          <w:color w:val="000000" w:themeColor="text1"/>
        </w:rPr>
        <w:t xml:space="preserve"> </w:t>
      </w:r>
      <w:r w:rsidRPr="00934B7D">
        <w:rPr>
          <w:rFonts w:ascii="Arial" w:hAnsi="Arial" w:cs="Arial"/>
          <w:b/>
          <w:i/>
          <w:iCs/>
        </w:rPr>
        <w:t xml:space="preserve">Mihaela Bronić, Katarina Ott, </w:t>
      </w:r>
      <w:r w:rsidR="00297BC1" w:rsidRPr="00934B7D">
        <w:rPr>
          <w:rFonts w:ascii="Arial" w:hAnsi="Arial" w:cs="Arial"/>
          <w:b/>
          <w:i/>
          <w:iCs/>
        </w:rPr>
        <w:t xml:space="preserve">Simona Prijaković </w:t>
      </w:r>
      <w:r w:rsidR="00297BC1" w:rsidRPr="00934B7D">
        <w:rPr>
          <w:rFonts w:ascii="Arial" w:hAnsi="Arial" w:cs="Arial"/>
          <w:bCs/>
          <w:i/>
          <w:iCs/>
        </w:rPr>
        <w:t>i</w:t>
      </w:r>
      <w:r w:rsidR="00297BC1" w:rsidRPr="00934B7D">
        <w:rPr>
          <w:rFonts w:ascii="Arial" w:hAnsi="Arial" w:cs="Arial"/>
          <w:b/>
          <w:i/>
          <w:iCs/>
        </w:rPr>
        <w:t xml:space="preserve"> </w:t>
      </w:r>
      <w:r w:rsidRPr="00934B7D">
        <w:rPr>
          <w:rFonts w:ascii="Arial" w:hAnsi="Arial" w:cs="Arial"/>
          <w:b/>
          <w:i/>
          <w:iCs/>
        </w:rPr>
        <w:t>Branko Stanić</w:t>
      </w:r>
      <w:r w:rsidR="00297BC1" w:rsidRPr="00934B7D">
        <w:rPr>
          <w:rFonts w:ascii="Arial" w:hAnsi="Arial" w:cs="Arial"/>
          <w:b/>
          <w:i/>
          <w:iCs/>
        </w:rPr>
        <w:t xml:space="preserve">, </w:t>
      </w:r>
      <w:r w:rsidR="00297BC1" w:rsidRPr="00934B7D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na temelju baze podataka Ministarstva financija, sistematiziraju i prikazuju osnovne podatke o prihodima i rashodima te suficitu/deficitu </w:t>
      </w:r>
      <w:r w:rsidR="000F6842" w:rsidRPr="00934B7D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lokalnih jedinica </w:t>
      </w:r>
      <w:r w:rsidR="00297BC1" w:rsidRPr="00934B7D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za 2021. i 2022. </w:t>
      </w:r>
    </w:p>
    <w:p w14:paraId="6B48CC1F" w14:textId="4FAA866D" w:rsidR="00297BC1" w:rsidRPr="00934B7D" w:rsidRDefault="009D71F1" w:rsidP="00297BC1">
      <w:pPr>
        <w:spacing w:before="120" w:line="240" w:lineRule="auto"/>
        <w:rPr>
          <w:rFonts w:ascii="Arial" w:hAnsi="Arial" w:cs="Arial"/>
          <w:color w:val="000000"/>
        </w:rPr>
      </w:pPr>
      <w:r w:rsidRPr="00934B7D">
        <w:rPr>
          <w:rFonts w:ascii="Arial" w:hAnsi="Arial" w:cs="Arial"/>
        </w:rPr>
        <w:t xml:space="preserve">S ciljem podizanja razine proračunske transparentnosti i informiranosti građana, Ministarstvo financija svake godine objavljuje podatke o ostvarenju proračuna svih lokalnih jedinica. </w:t>
      </w:r>
      <w:r w:rsidR="001D4ADC" w:rsidRPr="00934B7D">
        <w:rPr>
          <w:rFonts w:ascii="Arial" w:hAnsi="Arial" w:cs="Arial"/>
        </w:rPr>
        <w:t xml:space="preserve">Kako bi se </w:t>
      </w:r>
      <w:r w:rsidR="000B24C4" w:rsidRPr="00934B7D">
        <w:rPr>
          <w:rFonts w:ascii="Arial" w:hAnsi="Arial" w:cs="Arial"/>
        </w:rPr>
        <w:t>građani</w:t>
      </w:r>
      <w:r w:rsidR="001D4ADC" w:rsidRPr="00934B7D">
        <w:rPr>
          <w:rFonts w:ascii="Arial" w:hAnsi="Arial" w:cs="Arial"/>
        </w:rPr>
        <w:t xml:space="preserve"> što lakše snašl</w:t>
      </w:r>
      <w:r w:rsidR="00E33A6D" w:rsidRPr="00934B7D">
        <w:rPr>
          <w:rFonts w:ascii="Arial" w:hAnsi="Arial" w:cs="Arial"/>
        </w:rPr>
        <w:t>i</w:t>
      </w:r>
      <w:r w:rsidR="001D4ADC" w:rsidRPr="00934B7D">
        <w:rPr>
          <w:rFonts w:ascii="Arial" w:hAnsi="Arial" w:cs="Arial"/>
        </w:rPr>
        <w:t xml:space="preserve"> u opsežnim tablicama, </w:t>
      </w:r>
      <w:r w:rsidR="008B4C0F" w:rsidRPr="00934B7D">
        <w:rPr>
          <w:rFonts w:ascii="Arial" w:hAnsi="Arial" w:cs="Arial"/>
          <w:bCs/>
          <w:color w:val="000000" w:themeColor="text1"/>
          <w:spacing w:val="-6"/>
        </w:rPr>
        <w:t>u</w:t>
      </w:r>
      <w:r w:rsidR="008B4C0F" w:rsidRPr="00934B7D">
        <w:rPr>
          <w:rFonts w:ascii="Arial" w:hAnsi="Arial" w:cs="Arial"/>
          <w:bCs/>
          <w:color w:val="000000" w:themeColor="text1"/>
          <w:spacing w:val="-6"/>
        </w:rPr>
        <w:t xml:space="preserve">z pomoć ove analize i podataka koji se nude u formatu </w:t>
      </w:r>
      <w:hyperlink r:id="rId9" w:history="1">
        <w:r w:rsidR="008B4C0F" w:rsidRPr="00934B7D">
          <w:rPr>
            <w:rStyle w:val="Hyperlink"/>
            <w:rFonts w:ascii="Arial" w:hAnsi="Arial" w:cs="Arial"/>
            <w:bCs/>
            <w:color w:val="C00000"/>
            <w:spacing w:val="-6"/>
            <w:u w:val="none"/>
          </w:rPr>
          <w:t>Exc</w:t>
        </w:r>
        <w:r w:rsidR="008B4C0F" w:rsidRPr="00934B7D">
          <w:rPr>
            <w:rStyle w:val="Hyperlink"/>
            <w:rFonts w:ascii="Arial" w:hAnsi="Arial" w:cs="Arial"/>
            <w:bCs/>
            <w:color w:val="C00000"/>
            <w:spacing w:val="-6"/>
            <w:u w:val="none"/>
          </w:rPr>
          <w:t>e</w:t>
        </w:r>
        <w:r w:rsidR="008B4C0F" w:rsidRPr="00934B7D">
          <w:rPr>
            <w:rStyle w:val="Hyperlink"/>
            <w:rFonts w:ascii="Arial" w:hAnsi="Arial" w:cs="Arial"/>
            <w:bCs/>
            <w:color w:val="C00000"/>
            <w:spacing w:val="-6"/>
            <w:u w:val="none"/>
          </w:rPr>
          <w:t>l</w:t>
        </w:r>
      </w:hyperlink>
      <w:r w:rsidR="008B4C0F" w:rsidRPr="00934B7D">
        <w:rPr>
          <w:rFonts w:ascii="Arial" w:hAnsi="Arial" w:cs="Arial"/>
          <w:bCs/>
          <w:color w:val="000000" w:themeColor="text1"/>
          <w:spacing w:val="-6"/>
        </w:rPr>
        <w:t xml:space="preserve"> zainteresirani se mogu upoznati s financijskim stanjem svih općina, gradova i županija u dvije </w:t>
      </w:r>
      <w:r w:rsidR="000B24C4" w:rsidRPr="00934B7D">
        <w:rPr>
          <w:rFonts w:ascii="Arial" w:hAnsi="Arial" w:cs="Arial"/>
          <w:bCs/>
          <w:color w:val="000000" w:themeColor="text1"/>
          <w:spacing w:val="-6"/>
        </w:rPr>
        <w:t xml:space="preserve">navedene </w:t>
      </w:r>
      <w:r w:rsidR="008B4C0F" w:rsidRPr="00934B7D">
        <w:rPr>
          <w:rFonts w:ascii="Arial" w:hAnsi="Arial" w:cs="Arial"/>
          <w:bCs/>
          <w:color w:val="000000" w:themeColor="text1"/>
          <w:spacing w:val="-6"/>
        </w:rPr>
        <w:t xml:space="preserve">godine, uspoređivati ih sa stanjem u proteklim godinama </w:t>
      </w:r>
      <w:r w:rsidR="000B24C4" w:rsidRPr="00934B7D">
        <w:rPr>
          <w:rFonts w:ascii="Arial" w:hAnsi="Arial" w:cs="Arial"/>
          <w:bCs/>
          <w:color w:val="000000" w:themeColor="text1"/>
          <w:spacing w:val="-6"/>
        </w:rPr>
        <w:t xml:space="preserve">kao i </w:t>
      </w:r>
      <w:r w:rsidR="008B4C0F" w:rsidRPr="00934B7D">
        <w:rPr>
          <w:rFonts w:ascii="Arial" w:hAnsi="Arial" w:cs="Arial"/>
          <w:bCs/>
          <w:color w:val="000000" w:themeColor="text1"/>
          <w:spacing w:val="-6"/>
        </w:rPr>
        <w:t>uspoređivati svoju općinu, grad i županiju s drugima.</w:t>
      </w:r>
      <w:r w:rsidR="008B4C0F" w:rsidRPr="00934B7D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="00A839DB">
        <w:rPr>
          <w:rFonts w:ascii="Arial" w:hAnsi="Arial" w:cs="Arial"/>
          <w:bCs/>
          <w:color w:val="000000" w:themeColor="text1"/>
          <w:spacing w:val="-6"/>
        </w:rPr>
        <w:t>Podatci pokazuju da</w:t>
      </w:r>
      <w:r w:rsidR="00297BC1" w:rsidRPr="00934B7D">
        <w:rPr>
          <w:rFonts w:ascii="Arial" w:hAnsi="Arial" w:cs="Arial"/>
          <w:bCs/>
          <w:color w:val="000000" w:themeColor="text1"/>
          <w:spacing w:val="-6"/>
        </w:rPr>
        <w:t>: (1</w:t>
      </w:r>
      <w:r w:rsidR="00C85E14" w:rsidRPr="00934B7D">
        <w:rPr>
          <w:rFonts w:ascii="Arial" w:hAnsi="Arial" w:cs="Arial"/>
          <w:bCs/>
          <w:color w:val="000000" w:themeColor="text1"/>
          <w:spacing w:val="-6"/>
        </w:rPr>
        <w:t>) u</w:t>
      </w:r>
      <w:r w:rsidR="00297BC1" w:rsidRPr="00934B7D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="00297BC1" w:rsidRPr="00934B7D">
        <w:rPr>
          <w:rFonts w:ascii="Arial" w:hAnsi="Arial" w:cs="Arial"/>
          <w:color w:val="000000"/>
        </w:rPr>
        <w:t xml:space="preserve">razdoblju 2019. – 2022. ukupni prihodi i rashodi lokalnih jedinica </w:t>
      </w:r>
      <w:r w:rsidR="00C85E14" w:rsidRPr="00934B7D">
        <w:rPr>
          <w:rFonts w:ascii="Arial" w:hAnsi="Arial" w:cs="Arial"/>
          <w:color w:val="000000"/>
        </w:rPr>
        <w:t>su</w:t>
      </w:r>
      <w:r w:rsidR="000F6842" w:rsidRPr="00934B7D">
        <w:rPr>
          <w:rFonts w:ascii="Arial" w:hAnsi="Arial" w:cs="Arial"/>
          <w:color w:val="000000"/>
        </w:rPr>
        <w:t xml:space="preserve"> se –</w:t>
      </w:r>
      <w:r w:rsidR="00A15496" w:rsidRPr="00934B7D">
        <w:rPr>
          <w:rFonts w:ascii="Arial" w:hAnsi="Arial" w:cs="Arial"/>
          <w:color w:val="000000"/>
        </w:rPr>
        <w:t xml:space="preserve"> </w:t>
      </w:r>
      <w:r w:rsidR="00C85E14" w:rsidRPr="00934B7D">
        <w:rPr>
          <w:rFonts w:ascii="Arial" w:hAnsi="Arial" w:cs="Arial"/>
          <w:color w:val="000000"/>
        </w:rPr>
        <w:t xml:space="preserve">osim pandemijske 2020. </w:t>
      </w:r>
      <w:r w:rsidR="000F6842" w:rsidRPr="00934B7D">
        <w:rPr>
          <w:rFonts w:ascii="Arial" w:hAnsi="Arial" w:cs="Arial"/>
          <w:color w:val="000000"/>
        </w:rPr>
        <w:t>–</w:t>
      </w:r>
      <w:r w:rsidR="00A15496" w:rsidRPr="00934B7D">
        <w:rPr>
          <w:rFonts w:ascii="Arial" w:hAnsi="Arial" w:cs="Arial"/>
          <w:color w:val="000000"/>
        </w:rPr>
        <w:t xml:space="preserve"> </w:t>
      </w:r>
      <w:r w:rsidR="00297BC1" w:rsidRPr="00934B7D">
        <w:rPr>
          <w:rFonts w:ascii="Arial" w:hAnsi="Arial" w:cs="Arial"/>
          <w:color w:val="000000"/>
        </w:rPr>
        <w:t>povećavali</w:t>
      </w:r>
      <w:r w:rsidR="00C85E14" w:rsidRPr="00934B7D">
        <w:rPr>
          <w:rFonts w:ascii="Arial" w:hAnsi="Arial" w:cs="Arial"/>
          <w:color w:val="000000"/>
        </w:rPr>
        <w:t>; (2) p</w:t>
      </w:r>
      <w:r w:rsidR="00297BC1" w:rsidRPr="00934B7D">
        <w:rPr>
          <w:rFonts w:ascii="Arial" w:hAnsi="Arial" w:cs="Arial"/>
          <w:color w:val="000000"/>
        </w:rPr>
        <w:t>rihodi i rashodi</w:t>
      </w:r>
      <w:r w:rsidR="000F6842" w:rsidRPr="00934B7D">
        <w:rPr>
          <w:rFonts w:ascii="Arial" w:hAnsi="Arial" w:cs="Arial"/>
          <w:color w:val="000000"/>
        </w:rPr>
        <w:t xml:space="preserve"> (</w:t>
      </w:r>
      <w:r w:rsidR="00297BC1" w:rsidRPr="00934B7D">
        <w:rPr>
          <w:rFonts w:ascii="Arial" w:hAnsi="Arial" w:cs="Arial"/>
          <w:color w:val="000000"/>
        </w:rPr>
        <w:t>ukupni i po stanovniku</w:t>
      </w:r>
      <w:r w:rsidR="000F6842" w:rsidRPr="00934B7D">
        <w:rPr>
          <w:rFonts w:ascii="Arial" w:hAnsi="Arial" w:cs="Arial"/>
          <w:color w:val="000000"/>
        </w:rPr>
        <w:t>)</w:t>
      </w:r>
      <w:r w:rsidR="00297BC1" w:rsidRPr="00934B7D">
        <w:rPr>
          <w:rFonts w:ascii="Arial" w:hAnsi="Arial" w:cs="Arial"/>
          <w:color w:val="000000"/>
        </w:rPr>
        <w:t>, svih vrsta lokalnih jedinica su se povećavali (osim ukupnih i rashoda po stanovniku u općinama 2022.)</w:t>
      </w:r>
      <w:r w:rsidR="00C85E14" w:rsidRPr="00934B7D">
        <w:rPr>
          <w:rFonts w:ascii="Arial" w:hAnsi="Arial" w:cs="Arial"/>
          <w:color w:val="000000"/>
        </w:rPr>
        <w:t xml:space="preserve">; (3) </w:t>
      </w:r>
      <w:r w:rsidR="00297BC1" w:rsidRPr="00934B7D">
        <w:rPr>
          <w:rFonts w:ascii="Arial" w:hAnsi="Arial" w:cs="Arial"/>
          <w:color w:val="000000"/>
        </w:rPr>
        <w:t>sve je veći udio gradova i općina s višim, a sve manji onih s nižim prihodima po stanovniku</w:t>
      </w:r>
      <w:r w:rsidR="00C85E14" w:rsidRPr="00934B7D">
        <w:rPr>
          <w:rFonts w:ascii="Arial" w:hAnsi="Arial" w:cs="Arial"/>
          <w:color w:val="000000"/>
        </w:rPr>
        <w:t>; (4) i</w:t>
      </w:r>
      <w:r w:rsidR="00297BC1" w:rsidRPr="00934B7D">
        <w:rPr>
          <w:rFonts w:ascii="Arial" w:hAnsi="Arial" w:cs="Arial"/>
          <w:color w:val="000000"/>
        </w:rPr>
        <w:t>zuzevši općine koje su u prosjeku imale uglavnom uravnotežene proračune i županije koje su u prosjeku imale stalni trend rasta suficita, gradovi su se izvukli iz turbulentnih deficita i 2022. sve su vrste lokalnih jedinica u prosjeku u suficitu.</w:t>
      </w:r>
    </w:p>
    <w:p w14:paraId="50417879" w14:textId="62072E12" w:rsidR="00297BC1" w:rsidRDefault="008F0291" w:rsidP="003B76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Stoga se a</w:t>
      </w:r>
      <w:r w:rsidR="00C85E14">
        <w:rPr>
          <w:rFonts w:ascii="Arial" w:hAnsi="Arial" w:cs="Arial"/>
          <w:color w:val="000000"/>
        </w:rPr>
        <w:t xml:space="preserve">utori nadaju kako će </w:t>
      </w:r>
      <w:r>
        <w:rPr>
          <w:rFonts w:ascii="Arial" w:hAnsi="Arial" w:cs="Arial"/>
          <w:color w:val="000000"/>
        </w:rPr>
        <w:t xml:space="preserve">ova </w:t>
      </w:r>
      <w:r w:rsidR="00C85E14">
        <w:rPr>
          <w:rFonts w:ascii="Arial" w:hAnsi="Arial" w:cs="Arial"/>
          <w:color w:val="000000"/>
        </w:rPr>
        <w:t>analiza</w:t>
      </w:r>
      <w:r w:rsidR="00E76B4F">
        <w:rPr>
          <w:rFonts w:ascii="Arial" w:hAnsi="Arial" w:cs="Arial"/>
          <w:color w:val="000000"/>
        </w:rPr>
        <w:t xml:space="preserve"> potaknuti</w:t>
      </w:r>
      <w:r w:rsidR="00C85E14">
        <w:rPr>
          <w:rFonts w:ascii="Arial" w:hAnsi="Arial" w:cs="Arial"/>
          <w:color w:val="000000"/>
        </w:rPr>
        <w:t>:</w:t>
      </w:r>
      <w:r w:rsidR="00E76B4F">
        <w:rPr>
          <w:rFonts w:ascii="Arial" w:hAnsi="Arial" w:cs="Arial"/>
          <w:color w:val="000000"/>
        </w:rPr>
        <w:t xml:space="preserve"> (1) </w:t>
      </w:r>
      <w:r w:rsidR="00297BC1" w:rsidRPr="00C85E14">
        <w:rPr>
          <w:rFonts w:ascii="Arial" w:hAnsi="Arial" w:cs="Arial"/>
        </w:rPr>
        <w:t>javnost da dodatno prouči bogate baze podataka Ministarstva financija i svojih lokalnih jedinica te da se detaljnije informira o prikupljanju i trošenju novca iz lokalnih proračuna</w:t>
      </w:r>
      <w:r w:rsidR="00E76B4F">
        <w:rPr>
          <w:rFonts w:ascii="Arial" w:hAnsi="Arial" w:cs="Arial"/>
        </w:rPr>
        <w:t xml:space="preserve">; (2) </w:t>
      </w:r>
      <w:r w:rsidR="00297BC1" w:rsidRPr="00C85E14">
        <w:rPr>
          <w:rFonts w:ascii="Arial" w:hAnsi="Arial" w:cs="Arial"/>
        </w:rPr>
        <w:t>Ministarstvo financija da, uz podatke koje već objavljuje, počne objavljivati i strojno čitljive baze proračuna lokalnih jedinica koje uključuju i godišnja financijska izvješća svih pravnih osoba u (su)vlasništvu lokalnih jedinica kao i ustanova koje su one osnovale, s objašnjenjima obuhvata, metodologije i lomova u nizovima podataka te redovitim ažuriranjem tih baza</w:t>
      </w:r>
      <w:r w:rsidR="00E76B4F">
        <w:rPr>
          <w:rFonts w:ascii="Arial" w:hAnsi="Arial" w:cs="Arial"/>
        </w:rPr>
        <w:t xml:space="preserve">; te (3) </w:t>
      </w:r>
      <w:r w:rsidR="00297BC1" w:rsidRPr="00297BC1">
        <w:rPr>
          <w:rFonts w:ascii="Arial" w:hAnsi="Arial" w:cs="Arial"/>
        </w:rPr>
        <w:t xml:space="preserve">Ministarstvo financija da unaprijedi portal na kojemu se objavljuju lokalni proračuni 2015. – 2022., </w:t>
      </w:r>
      <w:hyperlink r:id="rId10" w:history="1">
        <w:r w:rsidR="00297BC1" w:rsidRPr="00EF138D">
          <w:rPr>
            <w:rStyle w:val="Hyperlink"/>
            <w:rFonts w:ascii="Arial" w:eastAsia="Calibri" w:hAnsi="Arial" w:cs="Arial"/>
            <w:color w:val="C00000"/>
            <w:u w:val="none"/>
          </w:rPr>
          <w:t>Financijsko izvještavanje u sustavu proračuna i Registar proračunskih i izvanproračunskih korisnika (RKPFI)</w:t>
        </w:r>
      </w:hyperlink>
      <w:r w:rsidR="00297BC1" w:rsidRPr="00297BC1">
        <w:rPr>
          <w:rFonts w:ascii="Arial" w:hAnsi="Arial" w:cs="Arial"/>
        </w:rPr>
        <w:t xml:space="preserve">, </w:t>
      </w:r>
      <w:r w:rsidR="00E76B4F">
        <w:rPr>
          <w:rFonts w:ascii="Arial" w:hAnsi="Arial" w:cs="Arial"/>
        </w:rPr>
        <w:t>i time omogući</w:t>
      </w:r>
      <w:r w:rsidR="00D468D8">
        <w:rPr>
          <w:rFonts w:ascii="Arial" w:hAnsi="Arial" w:cs="Arial"/>
        </w:rPr>
        <w:t>ti</w:t>
      </w:r>
      <w:r w:rsidR="00E76B4F">
        <w:rPr>
          <w:rFonts w:ascii="Arial" w:hAnsi="Arial" w:cs="Arial"/>
        </w:rPr>
        <w:t xml:space="preserve"> </w:t>
      </w:r>
      <w:r w:rsidR="00297BC1" w:rsidRPr="00297BC1">
        <w:rPr>
          <w:rFonts w:ascii="Arial" w:hAnsi="Arial" w:cs="Arial"/>
        </w:rPr>
        <w:t>preuzimanje proračuna svih lokalnih jedinica i njihovih proračunskih i izvanproračunskih korisnika odjednom za sve godine, jer se trenutno može preuzimati samo svaka lokalna jedinica, odnosno svaki (izvan)proračunski korisnik pojedinačno</w:t>
      </w:r>
      <w:r w:rsidR="000F4B4B">
        <w:rPr>
          <w:rFonts w:ascii="Arial" w:hAnsi="Arial" w:cs="Arial"/>
        </w:rPr>
        <w:t>.</w:t>
      </w:r>
    </w:p>
    <w:p w14:paraId="14C5367C" w14:textId="77777777" w:rsidR="003B76B8" w:rsidRPr="00297BC1" w:rsidRDefault="003B76B8" w:rsidP="003B76B8">
      <w:pPr>
        <w:spacing w:before="120" w:after="0" w:line="240" w:lineRule="auto"/>
        <w:rPr>
          <w:rFonts w:ascii="Arial" w:hAnsi="Arial" w:cs="Arial"/>
        </w:rPr>
      </w:pPr>
    </w:p>
    <w:p w14:paraId="33920AD9" w14:textId="77777777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B719E5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1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2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3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0F0E08"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7A28" w14:textId="77777777" w:rsidR="002212A5" w:rsidRDefault="002212A5" w:rsidP="00E1357A">
      <w:pPr>
        <w:spacing w:after="0" w:line="240" w:lineRule="auto"/>
      </w:pPr>
      <w:r>
        <w:separator/>
      </w:r>
    </w:p>
  </w:endnote>
  <w:endnote w:type="continuationSeparator" w:id="0">
    <w:p w14:paraId="4B5A81D2" w14:textId="77777777" w:rsidR="002212A5" w:rsidRDefault="002212A5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C04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97370B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97370B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3EDDE342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616433D7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47C0" w14:textId="77777777" w:rsidR="002212A5" w:rsidRDefault="002212A5" w:rsidP="00E1357A">
      <w:pPr>
        <w:spacing w:after="0" w:line="240" w:lineRule="auto"/>
      </w:pPr>
      <w:r>
        <w:separator/>
      </w:r>
    </w:p>
  </w:footnote>
  <w:footnote w:type="continuationSeparator" w:id="0">
    <w:p w14:paraId="0C2F466F" w14:textId="77777777" w:rsidR="002212A5" w:rsidRDefault="002212A5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5E"/>
    <w:rsid w:val="00015950"/>
    <w:rsid w:val="0004758B"/>
    <w:rsid w:val="00062219"/>
    <w:rsid w:val="00077B90"/>
    <w:rsid w:val="0008180D"/>
    <w:rsid w:val="00097A35"/>
    <w:rsid w:val="000A2AFA"/>
    <w:rsid w:val="000B24C4"/>
    <w:rsid w:val="000E21F0"/>
    <w:rsid w:val="000F0E08"/>
    <w:rsid w:val="000F4B4B"/>
    <w:rsid w:val="000F6842"/>
    <w:rsid w:val="00101299"/>
    <w:rsid w:val="0013646D"/>
    <w:rsid w:val="001372A1"/>
    <w:rsid w:val="00146714"/>
    <w:rsid w:val="001D4ADC"/>
    <w:rsid w:val="001D72E0"/>
    <w:rsid w:val="001E783D"/>
    <w:rsid w:val="002212A5"/>
    <w:rsid w:val="002352BE"/>
    <w:rsid w:val="00252628"/>
    <w:rsid w:val="00267115"/>
    <w:rsid w:val="002911E0"/>
    <w:rsid w:val="00297BC1"/>
    <w:rsid w:val="002A72C3"/>
    <w:rsid w:val="002B516D"/>
    <w:rsid w:val="002B6C9E"/>
    <w:rsid w:val="002E7F7F"/>
    <w:rsid w:val="00304EFA"/>
    <w:rsid w:val="00305D6F"/>
    <w:rsid w:val="003136A7"/>
    <w:rsid w:val="00321274"/>
    <w:rsid w:val="00323A5E"/>
    <w:rsid w:val="003457FF"/>
    <w:rsid w:val="0034634C"/>
    <w:rsid w:val="00367749"/>
    <w:rsid w:val="003B76B8"/>
    <w:rsid w:val="003D0428"/>
    <w:rsid w:val="00450336"/>
    <w:rsid w:val="00450DC5"/>
    <w:rsid w:val="00483BA2"/>
    <w:rsid w:val="004A4567"/>
    <w:rsid w:val="005241F5"/>
    <w:rsid w:val="00541FD1"/>
    <w:rsid w:val="00542F9C"/>
    <w:rsid w:val="005609A8"/>
    <w:rsid w:val="005754E3"/>
    <w:rsid w:val="00596CCD"/>
    <w:rsid w:val="005E1A13"/>
    <w:rsid w:val="005F4F1D"/>
    <w:rsid w:val="0062246B"/>
    <w:rsid w:val="006323D2"/>
    <w:rsid w:val="0063685E"/>
    <w:rsid w:val="006420B5"/>
    <w:rsid w:val="00667C35"/>
    <w:rsid w:val="00670452"/>
    <w:rsid w:val="0068332B"/>
    <w:rsid w:val="00683A67"/>
    <w:rsid w:val="006B1742"/>
    <w:rsid w:val="006E3280"/>
    <w:rsid w:val="006F52A8"/>
    <w:rsid w:val="007624D3"/>
    <w:rsid w:val="007779A1"/>
    <w:rsid w:val="00780686"/>
    <w:rsid w:val="00793A2D"/>
    <w:rsid w:val="008144FC"/>
    <w:rsid w:val="00817F11"/>
    <w:rsid w:val="008325FD"/>
    <w:rsid w:val="00832C52"/>
    <w:rsid w:val="00851258"/>
    <w:rsid w:val="0087441C"/>
    <w:rsid w:val="00887002"/>
    <w:rsid w:val="008B1C22"/>
    <w:rsid w:val="008B4C0F"/>
    <w:rsid w:val="008D4EA3"/>
    <w:rsid w:val="008F0291"/>
    <w:rsid w:val="009103E7"/>
    <w:rsid w:val="00916122"/>
    <w:rsid w:val="00932BA2"/>
    <w:rsid w:val="00934B7D"/>
    <w:rsid w:val="0093612C"/>
    <w:rsid w:val="00946C7B"/>
    <w:rsid w:val="0097370B"/>
    <w:rsid w:val="009A778B"/>
    <w:rsid w:val="009B5B5C"/>
    <w:rsid w:val="009D1CC8"/>
    <w:rsid w:val="009D71F1"/>
    <w:rsid w:val="009D7AC6"/>
    <w:rsid w:val="009E1367"/>
    <w:rsid w:val="009F22D7"/>
    <w:rsid w:val="00A070CA"/>
    <w:rsid w:val="00A15496"/>
    <w:rsid w:val="00A25159"/>
    <w:rsid w:val="00A30986"/>
    <w:rsid w:val="00A32CED"/>
    <w:rsid w:val="00A57117"/>
    <w:rsid w:val="00A72EA0"/>
    <w:rsid w:val="00A839DB"/>
    <w:rsid w:val="00A93C14"/>
    <w:rsid w:val="00AB3485"/>
    <w:rsid w:val="00AE3157"/>
    <w:rsid w:val="00B21D4C"/>
    <w:rsid w:val="00B2341C"/>
    <w:rsid w:val="00B343F6"/>
    <w:rsid w:val="00B456DF"/>
    <w:rsid w:val="00B671AE"/>
    <w:rsid w:val="00B719E5"/>
    <w:rsid w:val="00B96349"/>
    <w:rsid w:val="00BA2E0F"/>
    <w:rsid w:val="00BF45F8"/>
    <w:rsid w:val="00C46FEB"/>
    <w:rsid w:val="00C51AD2"/>
    <w:rsid w:val="00C85E14"/>
    <w:rsid w:val="00CA2119"/>
    <w:rsid w:val="00D20A4A"/>
    <w:rsid w:val="00D468D8"/>
    <w:rsid w:val="00D47C28"/>
    <w:rsid w:val="00D57EE8"/>
    <w:rsid w:val="00D62694"/>
    <w:rsid w:val="00D84B38"/>
    <w:rsid w:val="00D9558A"/>
    <w:rsid w:val="00DD653E"/>
    <w:rsid w:val="00DE30D7"/>
    <w:rsid w:val="00E1357A"/>
    <w:rsid w:val="00E17329"/>
    <w:rsid w:val="00E20412"/>
    <w:rsid w:val="00E33A6D"/>
    <w:rsid w:val="00E76B4F"/>
    <w:rsid w:val="00E77AEB"/>
    <w:rsid w:val="00E85560"/>
    <w:rsid w:val="00E90D2B"/>
    <w:rsid w:val="00EB2774"/>
    <w:rsid w:val="00EC31E5"/>
    <w:rsid w:val="00EE4A38"/>
    <w:rsid w:val="00EF0C51"/>
    <w:rsid w:val="00EF138D"/>
    <w:rsid w:val="00F01D2C"/>
    <w:rsid w:val="00F05ECE"/>
    <w:rsid w:val="00F11976"/>
    <w:rsid w:val="00F12740"/>
    <w:rsid w:val="00F129D6"/>
    <w:rsid w:val="00F14745"/>
    <w:rsid w:val="00F27A7C"/>
    <w:rsid w:val="00F409F8"/>
    <w:rsid w:val="00F53263"/>
    <w:rsid w:val="00F83274"/>
    <w:rsid w:val="00FB0B6D"/>
    <w:rsid w:val="00FD2F44"/>
    <w:rsid w:val="00FE01BF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381133" TargetMode="External"/><Relationship Id="rId13" Type="http://schemas.openxmlformats.org/officeDocument/2006/relationships/hyperlink" Target="https://www.ijf.hr/hr/publikacije/casopisi/osvrti-instituta-za-javne-financij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newslett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-journal.hr/en/ho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kpfi.drzavna-riznica.hr/PORTAL/Rk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itorij.ijf.hr/islandora/object/ijf%3A90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B3EF-59E4-40F2-979B-3498930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8</cp:revision>
  <cp:lastPrinted>2021-12-06T07:52:00Z</cp:lastPrinted>
  <dcterms:created xsi:type="dcterms:W3CDTF">2023-11-14T07:35:00Z</dcterms:created>
  <dcterms:modified xsi:type="dcterms:W3CDTF">2023-11-14T07:55:00Z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