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FC0F" w14:textId="77777777" w:rsidR="00783E80" w:rsidRDefault="00783E80" w:rsidP="00EE1FAE">
      <w:pPr>
        <w:spacing w:after="0"/>
        <w:rPr>
          <w:rFonts w:ascii="Arial" w:hAnsi="Arial" w:cs="Arial"/>
          <w:smallCaps/>
          <w:sz w:val="24"/>
          <w:szCs w:val="24"/>
        </w:rPr>
      </w:pPr>
    </w:p>
    <w:p w14:paraId="23DA4DD9" w14:textId="77777777" w:rsidR="00783E80" w:rsidRDefault="00783E80" w:rsidP="00EE1FAE">
      <w:pPr>
        <w:spacing w:after="0"/>
        <w:rPr>
          <w:rFonts w:ascii="Arial" w:hAnsi="Arial" w:cs="Arial"/>
          <w:smallCaps/>
          <w:sz w:val="24"/>
          <w:szCs w:val="24"/>
        </w:rPr>
      </w:pPr>
    </w:p>
    <w:p w14:paraId="3007DD65" w14:textId="07B1DD89" w:rsidR="00070C8B" w:rsidRPr="001D39B2" w:rsidRDefault="00EE1FAE" w:rsidP="00EE1FAE">
      <w:pPr>
        <w:spacing w:after="60"/>
        <w:rPr>
          <w:rFonts w:ascii="Arial" w:hAnsi="Arial" w:cs="Arial"/>
          <w:b/>
          <w:bCs/>
        </w:rPr>
      </w:pPr>
      <w:r w:rsidRPr="001D39B2">
        <w:rPr>
          <w:rFonts w:ascii="Arial" w:hAnsi="Arial" w:cs="Arial"/>
          <w:b/>
          <w:bCs/>
        </w:rPr>
        <w:t>OBJAVA ZA MEDIJE</w:t>
      </w:r>
    </w:p>
    <w:p w14:paraId="6866CF53" w14:textId="0BCBC057" w:rsidR="00B94EAF" w:rsidRDefault="005441C3" w:rsidP="00B94EAF">
      <w:pPr>
        <w:pBdr>
          <w:bottom w:val="single" w:sz="4" w:space="1" w:color="808080" w:themeColor="background1" w:themeShade="80"/>
        </w:pBdr>
        <w:spacing w:after="6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Imigracija kao rješenje za manjak radne snage u dugotrajnoj skrbi</w:t>
      </w:r>
    </w:p>
    <w:p w14:paraId="2DE6A405" w14:textId="5F1AD9C3" w:rsidR="00FF72AE" w:rsidRPr="00CA7A05" w:rsidRDefault="00783E80" w:rsidP="005441C3">
      <w:pPr>
        <w:spacing w:before="360" w:after="24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CA7A05">
        <w:rPr>
          <w:rFonts w:ascii="Arial" w:hAnsi="Arial" w:cs="Arial"/>
          <w:bCs/>
          <w:iCs/>
          <w:sz w:val="20"/>
          <w:szCs w:val="20"/>
        </w:rPr>
        <w:t>Zagreb, 2</w:t>
      </w:r>
      <w:r w:rsidR="005B5174" w:rsidRPr="00CA7A05">
        <w:rPr>
          <w:rFonts w:ascii="Arial" w:hAnsi="Arial" w:cs="Arial"/>
          <w:bCs/>
          <w:iCs/>
          <w:sz w:val="20"/>
          <w:szCs w:val="20"/>
        </w:rPr>
        <w:t>7</w:t>
      </w:r>
      <w:r w:rsidRPr="00CA7A05">
        <w:rPr>
          <w:rFonts w:ascii="Arial" w:hAnsi="Arial" w:cs="Arial"/>
          <w:bCs/>
          <w:iCs/>
          <w:sz w:val="20"/>
          <w:szCs w:val="20"/>
        </w:rPr>
        <w:t xml:space="preserve">. prosinca 2022. </w:t>
      </w:r>
      <w:r w:rsidRPr="00CA7A05">
        <w:rPr>
          <w:rFonts w:ascii="Arial" w:hAnsi="Arial" w:cs="Arial"/>
          <w:bCs/>
          <w:i/>
          <w:sz w:val="20"/>
          <w:szCs w:val="20"/>
        </w:rPr>
        <w:t xml:space="preserve">– </w:t>
      </w:r>
      <w:r w:rsidR="005441C3" w:rsidRPr="00CA7A05">
        <w:rPr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 xml:space="preserve">Europska komisija u rujnu 2022. predstavila </w:t>
      </w:r>
      <w:r w:rsidR="00206E8A" w:rsidRPr="00CA7A05">
        <w:rPr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 xml:space="preserve">je </w:t>
      </w:r>
      <w:r w:rsidR="005441C3" w:rsidRPr="00CA7A05">
        <w:rPr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>Europsku strategiju za skrb u kojoj se kao jedno od mogućih ključnih rješenja za manjak radne snage u dugotrajnoj skrbi predlažu migracije.</w:t>
      </w:r>
      <w:r w:rsidR="005441C3" w:rsidRPr="00CA7A05">
        <w:rPr>
          <w:rFonts w:ascii="Arial" w:eastAsiaTheme="minorHAnsi" w:hAnsi="Arial" w:cs="Arial"/>
          <w:bCs/>
          <w:i/>
          <w:color w:val="000000" w:themeColor="text1"/>
          <w:spacing w:val="-6"/>
          <w:sz w:val="20"/>
          <w:szCs w:val="20"/>
        </w:rPr>
        <w:t xml:space="preserve"> </w:t>
      </w:r>
      <w:r w:rsidR="007B3595" w:rsidRPr="00CA7A05">
        <w:rPr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>Kako bi se u Hrvatsk</w:t>
      </w:r>
      <w:r w:rsidR="006066F6">
        <w:rPr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>u</w:t>
      </w:r>
      <w:r w:rsidR="007B3595" w:rsidRPr="00CA7A05">
        <w:rPr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 xml:space="preserve"> </w:t>
      </w:r>
      <w:r w:rsidR="000114EE">
        <w:rPr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 xml:space="preserve">privuklo inozemne radnike, </w:t>
      </w:r>
      <w:r w:rsidR="00D315DD">
        <w:rPr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>nužno</w:t>
      </w:r>
      <w:r w:rsidR="00D315DD" w:rsidRPr="00676010">
        <w:rPr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 xml:space="preserve"> </w:t>
      </w:r>
      <w:r w:rsidR="005441C3" w:rsidRPr="00676010">
        <w:rPr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 xml:space="preserve">je unaprijediti sustav priznavanja njihovih kvalifikacija, omogućiti im odgovarajuće stručno usavršavanje i kvalitetno učenje jezika, te dobru </w:t>
      </w:r>
      <w:r w:rsidR="005441C3" w:rsidRPr="00D315DD">
        <w:rPr>
          <w:rFonts w:ascii="Arial" w:hAnsi="Arial" w:cs="Arial"/>
          <w:bCs/>
          <w:i/>
          <w:color w:val="000000" w:themeColor="text1"/>
          <w:spacing w:val="-6"/>
          <w:sz w:val="20"/>
          <w:szCs w:val="20"/>
        </w:rPr>
        <w:t>integraciju.</w:t>
      </w:r>
    </w:p>
    <w:p w14:paraId="0BF4D489" w14:textId="39D72765" w:rsidR="00101365" w:rsidRPr="00101365" w:rsidRDefault="00F60962" w:rsidP="00101365">
      <w:pPr>
        <w:spacing w:before="120" w:after="0"/>
        <w:jc w:val="both"/>
        <w:rPr>
          <w:rFonts w:ascii="Arial" w:hAnsi="Arial" w:cs="Arial"/>
          <w:bCs/>
          <w:color w:val="000000" w:themeColor="text1"/>
          <w:spacing w:val="-6"/>
          <w:sz w:val="20"/>
          <w:szCs w:val="20"/>
        </w:rPr>
      </w:pPr>
      <w:r w:rsidRPr="00F60962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>Pandemija koronavirusa pokazala je brojne ranjivosti sektora dugotrajne skrbi o starijim osobama, a ponajviše je izražen problem nedovoljnog broja zaposlenih – medicinskih sestara i njegovatelja.</w:t>
      </w:r>
      <w:r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 </w:t>
      </w:r>
      <w:r w:rsidR="00AC5345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Organizacija za ekonomsku suradnju i razvoj </w:t>
      </w:r>
      <w:r w:rsid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na to već dugo upozorava, a Europska komisija </w:t>
      </w:r>
      <w:r w:rsidR="00771ECE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u </w:t>
      </w:r>
      <w:r w:rsid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rujnu 2022. predstavila </w:t>
      </w:r>
      <w:r w:rsidR="00771ECE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je </w:t>
      </w:r>
      <w:r w:rsid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Europsku strategiju za skrb. </w:t>
      </w:r>
      <w:r w:rsidR="001C3B40" w:rsidRP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Cilj je strategije osigurati kvalitetne, </w:t>
      </w:r>
      <w:proofErr w:type="spellStart"/>
      <w:r w:rsidR="001C3B40" w:rsidRP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>priuštive</w:t>
      </w:r>
      <w:proofErr w:type="spellEnd"/>
      <w:r w:rsidR="001C3B40" w:rsidRP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 i dostupne usluge skrbi u zemljama članicama </w:t>
      </w:r>
      <w:r w:rsidR="002A6379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>EU-a</w:t>
      </w:r>
      <w:r w:rsidR="001C3B40" w:rsidRP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 te poboljšati položaj primatelja i pružatelja formalne i neformalne skrbi. </w:t>
      </w:r>
      <w:r w:rsidR="004C558F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>U strategiji se k</w:t>
      </w:r>
      <w:r w:rsid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ao </w:t>
      </w:r>
      <w:r w:rsidR="001C3B40" w:rsidRP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>jedno od ključnih rješenja problema manjka radne snage</w:t>
      </w:r>
      <w:r w:rsid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 predlaž</w:t>
      </w:r>
      <w:r w:rsidR="004C558F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>u</w:t>
      </w:r>
      <w:r w:rsid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 migracije, </w:t>
      </w:r>
      <w:r w:rsidR="000754D2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o čemu piše </w:t>
      </w:r>
      <w:r w:rsidR="000754D2" w:rsidRPr="006E0CF8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 xml:space="preserve">Marijana </w:t>
      </w:r>
      <w:proofErr w:type="spellStart"/>
      <w:r w:rsidR="000754D2" w:rsidRPr="006E0CF8">
        <w:rPr>
          <w:rFonts w:ascii="Arial" w:hAnsi="Arial" w:cs="Arial"/>
          <w:b/>
          <w:color w:val="000000" w:themeColor="text1"/>
          <w:spacing w:val="-6"/>
          <w:sz w:val="20"/>
          <w:szCs w:val="20"/>
        </w:rPr>
        <w:t>Bađun</w:t>
      </w:r>
      <w:proofErr w:type="spellEnd"/>
      <w:r w:rsidR="000754D2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 u</w:t>
      </w:r>
      <w:r w:rsid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 novom broju</w:t>
      </w:r>
      <w:r w:rsidR="001C3B40" w:rsidRPr="001C3B40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 </w:t>
      </w:r>
      <w:hyperlink r:id="rId7" w:history="1">
        <w:r w:rsidR="00F92558" w:rsidRPr="006E0CF8">
          <w:rPr>
            <w:rStyle w:val="Hyperlink"/>
            <w:rFonts w:ascii="Arial" w:hAnsi="Arial" w:cs="Arial"/>
            <w:bCs/>
            <w:color w:val="C00000"/>
            <w:spacing w:val="-6"/>
            <w:sz w:val="20"/>
            <w:szCs w:val="20"/>
            <w:u w:val="none"/>
          </w:rPr>
          <w:t>Osvrta Instituta za javne financije</w:t>
        </w:r>
      </w:hyperlink>
      <w:r w:rsidR="000754D2" w:rsidRPr="006E0CF8">
        <w:rPr>
          <w:rFonts w:ascii="Arial" w:hAnsi="Arial" w:cs="Arial"/>
          <w:bCs/>
          <w:color w:val="C00000"/>
          <w:spacing w:val="-6"/>
          <w:sz w:val="20"/>
          <w:szCs w:val="20"/>
        </w:rPr>
        <w:t>.</w:t>
      </w:r>
    </w:p>
    <w:p w14:paraId="4E2E6EBF" w14:textId="195538CC" w:rsidR="00101365" w:rsidRDefault="00771ECE" w:rsidP="00F60962">
      <w:pPr>
        <w:spacing w:before="120" w:after="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771ECE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Prema procjeni Europske komisije, do 2050. u EU-u bit će potrebno više od 1,6 </w:t>
      </w:r>
      <w:proofErr w:type="spellStart"/>
      <w:r w:rsidRPr="00771ECE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>mil</w:t>
      </w:r>
      <w:proofErr w:type="spellEnd"/>
      <w:r w:rsidRPr="00771ECE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>. dodatnih radnika kako bi njihov broj na 100 korisnika dugotrajne skrbi ostao isti. Preporuke za privlačenje i zadržavanje zaposlenih u dugotrajnoj skrbi uvijek se svode na isto: potrebno je povećati njihove plaće, poboljšati uvjete rada, omogućiti profesionalno usavršavanje i jačati socijalni dijalog.</w:t>
      </w:r>
      <w:r w:rsidR="00101365" w:rsidRPr="00101365">
        <w:t xml:space="preserve"> </w:t>
      </w:r>
      <w:r w:rsidR="00101365" w:rsidRPr="00101365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No, medicinskim sestrama i njegovateljima koji skrbe o starijim osobama sve je teže čekati provedbu preporuka te se diljem Europe odlučuju na štrajkove ili prosvjede. Mnogi su radnici tijekom pandemije napustili sektor dugotrajne skrbi pa su </w:t>
      </w:r>
      <w:r w:rsidR="004C558F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 xml:space="preserve">sada </w:t>
      </w:r>
      <w:r w:rsidR="00101365" w:rsidRPr="00101365">
        <w:rPr>
          <w:rFonts w:ascii="Arial" w:hAnsi="Arial" w:cs="Arial"/>
          <w:bCs/>
          <w:color w:val="000000" w:themeColor="text1"/>
          <w:spacing w:val="-6"/>
          <w:sz w:val="20"/>
          <w:szCs w:val="20"/>
        </w:rPr>
        <w:t>oni koji su ostali još više opterećeni.</w:t>
      </w:r>
      <w:r w:rsidR="00101365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14:paraId="0396D442" w14:textId="6DE68CB6" w:rsidR="00F60962" w:rsidRPr="00101365" w:rsidRDefault="00F60962" w:rsidP="00F60962">
      <w:pPr>
        <w:spacing w:before="120" w:after="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F60962">
        <w:rPr>
          <w:rFonts w:ascii="Arial" w:hAnsi="Arial" w:cs="Arial"/>
          <w:bCs/>
          <w:sz w:val="20"/>
          <w:szCs w:val="20"/>
        </w:rPr>
        <w:t>Hrvatska je jedna od zemalja EU-a koja ima „</w:t>
      </w:r>
      <w:r w:rsidRPr="00F77423">
        <w:rPr>
          <w:rFonts w:ascii="Arial" w:hAnsi="Arial" w:cs="Arial"/>
          <w:bCs/>
          <w:sz w:val="20"/>
          <w:szCs w:val="20"/>
        </w:rPr>
        <w:t>odljev skrbi</w:t>
      </w:r>
      <w:r w:rsidRPr="00F60962">
        <w:rPr>
          <w:rFonts w:ascii="Arial" w:hAnsi="Arial" w:cs="Arial"/>
          <w:bCs/>
          <w:sz w:val="20"/>
          <w:szCs w:val="20"/>
        </w:rPr>
        <w:t>“, a slično je i u Bugarskoj, Rumunjskoj, Mađarskoj i Sloveniji. Radnici iz ovih zemalja odlaze u bogatije pretežito radi većih plaća i boljih uvjeta rada, čime se dodatno produbljuje problem manjka radne snage u zemljama s nižim dohotkom, a čije stanovništvo također stari.</w:t>
      </w:r>
      <w:r w:rsidR="00771ECE" w:rsidRPr="00771ECE">
        <w:t xml:space="preserve"> </w:t>
      </w:r>
      <w:r w:rsidR="00771ECE" w:rsidRPr="00771ECE">
        <w:rPr>
          <w:rFonts w:ascii="Arial" w:hAnsi="Arial" w:cs="Arial"/>
          <w:bCs/>
          <w:sz w:val="20"/>
          <w:szCs w:val="20"/>
        </w:rPr>
        <w:t>Prema podacima dobivenim od Hrvatske komore medicinskih sestara, iz Hrvatske je od 2013. do danas otišlo 2400 medicinskih sestara. U zdravstvu ih trenutno nedostaje 4000, a broj za dugotrajnu skrb nije poznat</w:t>
      </w:r>
      <w:r w:rsidR="00771ECE">
        <w:rPr>
          <w:rFonts w:ascii="Arial" w:hAnsi="Arial" w:cs="Arial"/>
          <w:bCs/>
          <w:sz w:val="20"/>
          <w:szCs w:val="20"/>
        </w:rPr>
        <w:t>.</w:t>
      </w:r>
    </w:p>
    <w:p w14:paraId="72DF3D44" w14:textId="70F745DD" w:rsidR="00F60962" w:rsidRPr="00F60962" w:rsidRDefault="00F60962" w:rsidP="00F60962">
      <w:pPr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F60962">
        <w:rPr>
          <w:rFonts w:ascii="Arial" w:hAnsi="Arial" w:cs="Arial"/>
          <w:bCs/>
          <w:sz w:val="20"/>
          <w:szCs w:val="20"/>
        </w:rPr>
        <w:t>U Hrvatskoj je dosad inicijativu za lakše zapošljavanje inozemnih radnika u dugotrajnoj skrbi pokaza</w:t>
      </w:r>
      <w:r w:rsidR="00101365">
        <w:rPr>
          <w:rFonts w:ascii="Arial" w:hAnsi="Arial" w:cs="Arial"/>
          <w:bCs/>
          <w:sz w:val="20"/>
          <w:szCs w:val="20"/>
        </w:rPr>
        <w:t>la</w:t>
      </w:r>
      <w:r w:rsidRPr="00F60962">
        <w:rPr>
          <w:rFonts w:ascii="Arial" w:hAnsi="Arial" w:cs="Arial"/>
          <w:bCs/>
          <w:sz w:val="20"/>
          <w:szCs w:val="20"/>
        </w:rPr>
        <w:t xml:space="preserve"> H</w:t>
      </w:r>
      <w:r w:rsidR="00101365">
        <w:rPr>
          <w:rFonts w:ascii="Arial" w:hAnsi="Arial" w:cs="Arial"/>
          <w:bCs/>
          <w:sz w:val="20"/>
          <w:szCs w:val="20"/>
        </w:rPr>
        <w:t>rvatska udruga poslodavaca</w:t>
      </w:r>
      <w:r w:rsidRPr="00F60962">
        <w:rPr>
          <w:rFonts w:ascii="Arial" w:hAnsi="Arial" w:cs="Arial"/>
          <w:bCs/>
          <w:sz w:val="20"/>
          <w:szCs w:val="20"/>
        </w:rPr>
        <w:t>, no vrijeme je da Vlada konkretizira neke svoje prijedloge – ne samo za potencijalne inozemne radnike nego i domaće medicinske sestre/tehničare i njegovatelje koji rade jako težak, a nedovoljno plaćen posao. Kako su medicinske sestre u dugotrajnoj skrbi manje plaćene od medicinskih sestara u zdravstvu, to bi vjerojatno trebala biti jedna od prvih tema za razmatranje i dogovor.</w:t>
      </w:r>
      <w:r w:rsidR="00101365" w:rsidRPr="00101365">
        <w:rPr>
          <w:rFonts w:ascii="Montserrat" w:eastAsiaTheme="minorHAnsi" w:hAnsi="Montserrat"/>
          <w:bCs/>
          <w:color w:val="000000" w:themeColor="text1"/>
          <w:spacing w:val="-6"/>
        </w:rPr>
        <w:t xml:space="preserve"> </w:t>
      </w:r>
    </w:p>
    <w:p w14:paraId="793E461F" w14:textId="1A82145A" w:rsidR="00F60962" w:rsidRPr="00F60962" w:rsidRDefault="00F60962" w:rsidP="00F60962">
      <w:pPr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F60962">
        <w:rPr>
          <w:rFonts w:ascii="Arial" w:hAnsi="Arial" w:cs="Arial"/>
          <w:bCs/>
          <w:sz w:val="20"/>
          <w:szCs w:val="20"/>
        </w:rPr>
        <w:t>Čak i ako se u Hrvatskoj poduzmu sve mjere za povećanje privlačnosti ovog posla za domaću radnu snagu te poraste njihov broj u dugotrajnoj skrbi, uslijed starenja stanovništva i sve manjeg broja mogućih pružatelja neformalne (obiteljske) skrbi to vjerojatno neće biti dovoljno. Ključno je inozemnim radnicima omogućiti odgovarajuće stručno usavršavanje i kvalitetno učenje jezika, ali i razviti programe njihove integracije. Europska komisija</w:t>
      </w:r>
      <w:r w:rsidR="00101365">
        <w:rPr>
          <w:rFonts w:ascii="Arial" w:hAnsi="Arial" w:cs="Arial"/>
          <w:bCs/>
          <w:sz w:val="20"/>
          <w:szCs w:val="20"/>
        </w:rPr>
        <w:t xml:space="preserve"> </w:t>
      </w:r>
      <w:r w:rsidRPr="00F60962">
        <w:rPr>
          <w:rFonts w:ascii="Arial" w:hAnsi="Arial" w:cs="Arial"/>
          <w:bCs/>
          <w:sz w:val="20"/>
          <w:szCs w:val="20"/>
        </w:rPr>
        <w:t>nastojat</w:t>
      </w:r>
      <w:r w:rsidR="00101365">
        <w:rPr>
          <w:rFonts w:ascii="Arial" w:hAnsi="Arial" w:cs="Arial"/>
          <w:bCs/>
          <w:sz w:val="20"/>
          <w:szCs w:val="20"/>
        </w:rPr>
        <w:t xml:space="preserve"> će</w:t>
      </w:r>
      <w:r w:rsidRPr="00F60962">
        <w:rPr>
          <w:rFonts w:ascii="Arial" w:hAnsi="Arial" w:cs="Arial"/>
          <w:bCs/>
          <w:sz w:val="20"/>
          <w:szCs w:val="20"/>
        </w:rPr>
        <w:t xml:space="preserve"> uskladiti kriterije za priznavanje kvalifikacija radnika iz zemalja nečlanica, što će im omogućiti i veću mobilnost. </w:t>
      </w:r>
    </w:p>
    <w:p w14:paraId="51F3CD3C" w14:textId="0E8A3ED0" w:rsidR="00803A20" w:rsidRDefault="00F60962" w:rsidP="00F60962">
      <w:pPr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F60962">
        <w:rPr>
          <w:rFonts w:ascii="Arial" w:hAnsi="Arial" w:cs="Arial"/>
          <w:bCs/>
          <w:sz w:val="20"/>
          <w:szCs w:val="20"/>
        </w:rPr>
        <w:t>Migracije su vođene ekonomskim blagostanjem, radnim uvjetima, geografskim položajem, jezikom, kulturom i drugim čimbenicima</w:t>
      </w:r>
      <w:r w:rsidR="00803A20">
        <w:rPr>
          <w:rFonts w:ascii="Arial" w:hAnsi="Arial" w:cs="Arial"/>
          <w:bCs/>
          <w:sz w:val="20"/>
          <w:szCs w:val="20"/>
        </w:rPr>
        <w:t xml:space="preserve"> što</w:t>
      </w:r>
      <w:r w:rsidRPr="00F60962">
        <w:rPr>
          <w:rFonts w:ascii="Arial" w:hAnsi="Arial" w:cs="Arial"/>
          <w:bCs/>
          <w:sz w:val="20"/>
          <w:szCs w:val="20"/>
        </w:rPr>
        <w:t xml:space="preserve"> znači da se Hrvatskoj neće biti lako „natjecati“ za inozemnu radnu snagu u bilo kojem segmentu tržišta rada, pa tako i u sustavu dugotrajne skrbi. </w:t>
      </w:r>
    </w:p>
    <w:p w14:paraId="0E4C40D3" w14:textId="7F0C53A8" w:rsidR="00502D76" w:rsidRDefault="00803A20" w:rsidP="00F60962">
      <w:pPr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„I</w:t>
      </w:r>
      <w:r w:rsidR="00F60962" w:rsidRPr="00F60962">
        <w:rPr>
          <w:rFonts w:ascii="Arial" w:hAnsi="Arial" w:cs="Arial"/>
          <w:bCs/>
          <w:sz w:val="20"/>
          <w:szCs w:val="20"/>
        </w:rPr>
        <w:t xml:space="preserve"> kraće zadržavanje inozemnih radnika na putu prema bogatijoj zemlji bilo bi korisno za sustav dugotrajne skrbi koji je u Hrvatskoj predugo zanemarivan, premda bi trebalo poduzeti mjere da oni ostanu što dulje. Jednostavno, korisnici ne mogu dobiti kvalitetnu uslugu skrbi bez dovoljnog broja ljudi koji će o njima brinuti</w:t>
      </w:r>
      <w:r w:rsidR="000114EE">
        <w:rPr>
          <w:rFonts w:ascii="Arial" w:hAnsi="Arial" w:cs="Arial"/>
          <w:bCs/>
          <w:sz w:val="20"/>
          <w:szCs w:val="20"/>
        </w:rPr>
        <w:t>“</w:t>
      </w:r>
      <w:r w:rsidR="00F60962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naglašava </w:t>
      </w:r>
      <w:r w:rsidR="00F60962">
        <w:rPr>
          <w:rFonts w:ascii="Arial" w:hAnsi="Arial" w:cs="Arial"/>
          <w:bCs/>
          <w:sz w:val="20"/>
          <w:szCs w:val="20"/>
        </w:rPr>
        <w:t xml:space="preserve">Marijana </w:t>
      </w:r>
      <w:proofErr w:type="spellStart"/>
      <w:r w:rsidR="00F60962">
        <w:rPr>
          <w:rFonts w:ascii="Arial" w:hAnsi="Arial" w:cs="Arial"/>
          <w:bCs/>
          <w:sz w:val="20"/>
          <w:szCs w:val="20"/>
        </w:rPr>
        <w:t>Bađun</w:t>
      </w:r>
      <w:proofErr w:type="spellEnd"/>
      <w:r w:rsidR="00F60962">
        <w:rPr>
          <w:rFonts w:ascii="Arial" w:hAnsi="Arial" w:cs="Arial"/>
          <w:bCs/>
          <w:sz w:val="20"/>
          <w:szCs w:val="20"/>
        </w:rPr>
        <w:t xml:space="preserve">. </w:t>
      </w:r>
    </w:p>
    <w:p w14:paraId="449B1531" w14:textId="045C15C1" w:rsidR="001D39B2" w:rsidRPr="006E0CF8" w:rsidRDefault="001D39B2" w:rsidP="00F60962">
      <w:pPr>
        <w:spacing w:before="120"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F8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U </w:t>
      </w:r>
      <w:hyperlink r:id="rId8" w:history="1">
        <w:r w:rsidRPr="006E0CF8">
          <w:rPr>
            <w:rStyle w:val="Hyperlink"/>
            <w:rFonts w:ascii="Arial" w:hAnsi="Arial" w:cs="Arial"/>
            <w:color w:val="C00000"/>
            <w:sz w:val="20"/>
            <w:szCs w:val="20"/>
            <w:u w:val="none"/>
            <w:shd w:val="clear" w:color="auto" w:fill="FFFFFF"/>
          </w:rPr>
          <w:t>Osvrtima</w:t>
        </w:r>
      </w:hyperlink>
      <w:r w:rsidRPr="006E0CF8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6E0CF8">
        <w:rPr>
          <w:rFonts w:ascii="Arial" w:hAnsi="Arial" w:cs="Arial"/>
          <w:sz w:val="20"/>
          <w:szCs w:val="20"/>
          <w:shd w:val="clear" w:color="auto" w:fill="FFFFFF"/>
        </w:rPr>
        <w:t>istraživači Instituta za javne financije komentiraju aktualna fiskalna zbivanja i analiziraju teme iz područja javnih financija i ekonomike javnog sektora, a namijenjeni su zainteresiranoj javnosti i medijima.</w:t>
      </w:r>
      <w:r w:rsidRPr="006E0CF8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</w:p>
    <w:p w14:paraId="5BBB5112" w14:textId="77777777" w:rsidR="001D39B2" w:rsidRPr="006E0CF8" w:rsidRDefault="001D39B2" w:rsidP="00F60962">
      <w:pPr>
        <w:spacing w:after="1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CCFEFCD" w14:textId="77777777" w:rsidR="00200A26" w:rsidRPr="006E0CF8" w:rsidRDefault="00783E80" w:rsidP="00EE1FAE">
      <w:pPr>
        <w:spacing w:after="1800"/>
        <w:rPr>
          <w:rFonts w:ascii="Arial" w:hAnsi="Arial" w:cs="Arial"/>
          <w:sz w:val="20"/>
          <w:szCs w:val="20"/>
        </w:rPr>
      </w:pPr>
      <w:r w:rsidRPr="006E0CF8">
        <w:rPr>
          <w:rFonts w:ascii="Arial" w:hAnsi="Arial" w:cs="Arial"/>
          <w:b/>
          <w:sz w:val="20"/>
          <w:szCs w:val="20"/>
        </w:rPr>
        <w:t>Osoba za kontakt:</w:t>
      </w:r>
      <w:r w:rsidRPr="006E0CF8">
        <w:rPr>
          <w:rFonts w:ascii="Arial" w:hAnsi="Arial" w:cs="Arial"/>
          <w:sz w:val="20"/>
          <w:szCs w:val="20"/>
        </w:rPr>
        <w:t xml:space="preserve"> Edita Vlahović Žuvela (E: </w:t>
      </w:r>
      <w:hyperlink r:id="rId9" w:history="1">
        <w:r w:rsidRPr="006E0CF8">
          <w:rPr>
            <w:rStyle w:val="Hyperlink"/>
            <w:rFonts w:ascii="Arial" w:hAnsi="Arial" w:cs="Arial"/>
            <w:color w:val="C00000"/>
            <w:sz w:val="20"/>
            <w:szCs w:val="20"/>
            <w:u w:val="none"/>
          </w:rPr>
          <w:t>ured@ijf.hr</w:t>
        </w:r>
      </w:hyperlink>
      <w:r w:rsidRPr="006E0CF8">
        <w:rPr>
          <w:rFonts w:ascii="Arial" w:hAnsi="Arial" w:cs="Arial"/>
          <w:sz w:val="20"/>
          <w:szCs w:val="20"/>
        </w:rPr>
        <w:t xml:space="preserve"> ili T: 01/4886-444).</w:t>
      </w:r>
    </w:p>
    <w:p w14:paraId="6CCC96BE" w14:textId="77777777" w:rsidR="001D39B2" w:rsidRPr="00F45350" w:rsidRDefault="001D39B2" w:rsidP="001D39B2">
      <w:pPr>
        <w:spacing w:before="480" w:after="24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501CAB77" w14:textId="6EC72380" w:rsidR="008D4EA3" w:rsidRPr="00F77423" w:rsidRDefault="001D39B2" w:rsidP="00A36348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33395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966982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</w:t>
      </w:r>
      <w:r w:rsidRPr="006E0CF8">
        <w:rPr>
          <w:rFonts w:ascii="Arial" w:hAnsi="Arial" w:cs="Arial"/>
          <w:color w:val="7F7F7F" w:themeColor="text1" w:themeTint="80"/>
          <w:sz w:val="18"/>
          <w:szCs w:val="18"/>
        </w:rPr>
        <w:t xml:space="preserve">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0" w:history="1">
        <w:proofErr w:type="spellStart"/>
        <w:r w:rsidRPr="006E0CF8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Public</w:t>
        </w:r>
        <w:proofErr w:type="spellEnd"/>
        <w:r w:rsidRPr="006E0CF8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6E0CF8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6E0CF8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6E0CF8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6E0CF8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6E0CF8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6E0CF8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1" w:history="1">
        <w:r w:rsidRPr="006E0CF8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6E0CF8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6E0CF8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2" w:history="1">
        <w:r w:rsidRPr="006E0CF8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6E0CF8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6E0CF8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</w:t>
      </w:r>
      <w:r w:rsidRPr="00966982">
        <w:rPr>
          <w:rFonts w:ascii="Arial" w:hAnsi="Arial" w:cs="Arial"/>
          <w:color w:val="7F7F7F" w:themeColor="text1" w:themeTint="80"/>
          <w:sz w:val="18"/>
          <w:szCs w:val="18"/>
        </w:rPr>
        <w:t>.</w:t>
      </w:r>
    </w:p>
    <w:sectPr w:rsidR="008D4EA3" w:rsidRPr="00F77423" w:rsidSect="00EE1FAE">
      <w:headerReference w:type="default" r:id="rId13"/>
      <w:footerReference w:type="default" r:id="rId14"/>
      <w:headerReference w:type="first" r:id="rId15"/>
      <w:pgSz w:w="11907" w:h="16839" w:code="9"/>
      <w:pgMar w:top="1418" w:right="1418" w:bottom="1418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F0D4" w14:textId="77777777" w:rsidR="00005D1E" w:rsidRDefault="00005D1E">
      <w:pPr>
        <w:spacing w:after="0" w:line="240" w:lineRule="auto"/>
      </w:pPr>
      <w:r>
        <w:separator/>
      </w:r>
    </w:p>
  </w:endnote>
  <w:endnote w:type="continuationSeparator" w:id="0">
    <w:p w14:paraId="3CC89F83" w14:textId="77777777" w:rsidR="00005D1E" w:rsidRDefault="0000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8770" w14:textId="77777777" w:rsidR="00FD3A1E" w:rsidRPr="00B1395C" w:rsidRDefault="00005D1E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4137" w14:textId="77777777" w:rsidR="00005D1E" w:rsidRDefault="00005D1E">
      <w:pPr>
        <w:spacing w:after="0" w:line="240" w:lineRule="auto"/>
      </w:pPr>
      <w:r>
        <w:separator/>
      </w:r>
    </w:p>
  </w:footnote>
  <w:footnote w:type="continuationSeparator" w:id="0">
    <w:p w14:paraId="4BEB4434" w14:textId="77777777" w:rsidR="00005D1E" w:rsidRDefault="0000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F997" w14:textId="77777777" w:rsidR="00FD3A1E" w:rsidRPr="00B1395C" w:rsidRDefault="00005D1E" w:rsidP="00431741">
    <w:pPr>
      <w:pStyle w:val="Header"/>
      <w:ind w:hanging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97F3" w14:textId="77777777" w:rsidR="001201F1" w:rsidRDefault="00200A26" w:rsidP="001201F1">
    <w:pPr>
      <w:pStyle w:val="Header"/>
      <w:spacing w:after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88EAA6" wp14:editId="6B9EABE2">
          <wp:simplePos x="0" y="0"/>
          <wp:positionH relativeFrom="column">
            <wp:posOffset>-395605</wp:posOffset>
          </wp:positionH>
          <wp:positionV relativeFrom="paragraph">
            <wp:posOffset>81915</wp:posOffset>
          </wp:positionV>
          <wp:extent cx="2530475" cy="1102995"/>
          <wp:effectExtent l="0" t="0" r="3175" b="1905"/>
          <wp:wrapNone/>
          <wp:docPr id="4" name="Picture 4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7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883"/>
    <w:multiLevelType w:val="hybridMultilevel"/>
    <w:tmpl w:val="A4561632"/>
    <w:lvl w:ilvl="0" w:tplc="6FA6BA5E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C00000"/>
      </w:rPr>
    </w:lvl>
    <w:lvl w:ilvl="1" w:tplc="6FA6BA5E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  <w:color w:val="C0000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326D"/>
    <w:multiLevelType w:val="hybridMultilevel"/>
    <w:tmpl w:val="76ECA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2E8D"/>
    <w:multiLevelType w:val="hybridMultilevel"/>
    <w:tmpl w:val="048A8C70"/>
    <w:lvl w:ilvl="0" w:tplc="0E02AD6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527B"/>
    <w:multiLevelType w:val="hybridMultilevel"/>
    <w:tmpl w:val="F0D6C53E"/>
    <w:lvl w:ilvl="0" w:tplc="6FA6B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F5B78"/>
    <w:multiLevelType w:val="hybridMultilevel"/>
    <w:tmpl w:val="999471C8"/>
    <w:lvl w:ilvl="0" w:tplc="6FA6B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szA3MDY0MTSwNLFU0lEKTi0uzszPAykwrgUAsDd88SwAAAA="/>
  </w:docVars>
  <w:rsids>
    <w:rsidRoot w:val="00E92BF2"/>
    <w:rsid w:val="00005D1E"/>
    <w:rsid w:val="000114EE"/>
    <w:rsid w:val="00070C8B"/>
    <w:rsid w:val="000754D2"/>
    <w:rsid w:val="00085729"/>
    <w:rsid w:val="00097AE8"/>
    <w:rsid w:val="000E4906"/>
    <w:rsid w:val="00101365"/>
    <w:rsid w:val="0013334D"/>
    <w:rsid w:val="00140F33"/>
    <w:rsid w:val="001C3B40"/>
    <w:rsid w:val="001D39B2"/>
    <w:rsid w:val="00200A26"/>
    <w:rsid w:val="00206E8A"/>
    <w:rsid w:val="002A37FA"/>
    <w:rsid w:val="002A6379"/>
    <w:rsid w:val="002F452A"/>
    <w:rsid w:val="003540FF"/>
    <w:rsid w:val="00380E01"/>
    <w:rsid w:val="00416B40"/>
    <w:rsid w:val="00424A53"/>
    <w:rsid w:val="00471248"/>
    <w:rsid w:val="004C558F"/>
    <w:rsid w:val="004D00C9"/>
    <w:rsid w:val="004D0A82"/>
    <w:rsid w:val="004E65CB"/>
    <w:rsid w:val="004F5F6F"/>
    <w:rsid w:val="00502D76"/>
    <w:rsid w:val="005441C3"/>
    <w:rsid w:val="005B5174"/>
    <w:rsid w:val="006066F6"/>
    <w:rsid w:val="00612338"/>
    <w:rsid w:val="006640D0"/>
    <w:rsid w:val="00664653"/>
    <w:rsid w:val="00676010"/>
    <w:rsid w:val="00687DC8"/>
    <w:rsid w:val="006E0CF8"/>
    <w:rsid w:val="0072013E"/>
    <w:rsid w:val="00771ECE"/>
    <w:rsid w:val="00783E80"/>
    <w:rsid w:val="007B3595"/>
    <w:rsid w:val="007E5085"/>
    <w:rsid w:val="007E77DC"/>
    <w:rsid w:val="00803A20"/>
    <w:rsid w:val="00837135"/>
    <w:rsid w:val="00845E7B"/>
    <w:rsid w:val="008D4EA3"/>
    <w:rsid w:val="008F45F2"/>
    <w:rsid w:val="00963F67"/>
    <w:rsid w:val="009C1DCE"/>
    <w:rsid w:val="009D5044"/>
    <w:rsid w:val="00A36348"/>
    <w:rsid w:val="00A55941"/>
    <w:rsid w:val="00AC5345"/>
    <w:rsid w:val="00AC6794"/>
    <w:rsid w:val="00B1528C"/>
    <w:rsid w:val="00B2256A"/>
    <w:rsid w:val="00B22F5C"/>
    <w:rsid w:val="00B364CD"/>
    <w:rsid w:val="00B85BE8"/>
    <w:rsid w:val="00B94EAF"/>
    <w:rsid w:val="00BC50F2"/>
    <w:rsid w:val="00BD26F0"/>
    <w:rsid w:val="00CA7A05"/>
    <w:rsid w:val="00CD1CB4"/>
    <w:rsid w:val="00D17955"/>
    <w:rsid w:val="00D27E01"/>
    <w:rsid w:val="00D315DD"/>
    <w:rsid w:val="00D57E36"/>
    <w:rsid w:val="00DA0B06"/>
    <w:rsid w:val="00E62C25"/>
    <w:rsid w:val="00E777EC"/>
    <w:rsid w:val="00E92BF2"/>
    <w:rsid w:val="00EA628A"/>
    <w:rsid w:val="00EB66E8"/>
    <w:rsid w:val="00EC30F7"/>
    <w:rsid w:val="00EC5279"/>
    <w:rsid w:val="00ED0775"/>
    <w:rsid w:val="00EE092E"/>
    <w:rsid w:val="00EE1FAE"/>
    <w:rsid w:val="00EE5EBA"/>
    <w:rsid w:val="00EF1347"/>
    <w:rsid w:val="00F46C24"/>
    <w:rsid w:val="00F60962"/>
    <w:rsid w:val="00F77423"/>
    <w:rsid w:val="00F92558"/>
    <w:rsid w:val="00FE0E3D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5875"/>
  <w15:chartTrackingRefBased/>
  <w15:docId w15:val="{D0B1AD7A-6B76-4758-8AFC-7578C89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83E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3E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783E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83E8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83E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1D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34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34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47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41C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0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96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F609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f.hr/hr/publikacije/casopisi/osvrti-instituta-za-javne-financij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pozitorij.ijf.hr/islandora/object/ijf:838/datastream/FILE0/download?cover=false" TargetMode="External"/><Relationship Id="rId12" Type="http://schemas.openxmlformats.org/officeDocument/2006/relationships/hyperlink" Target="https://www.ijf.hr/hr/publikacije/casopisi/osvrti-instituta-za-javne-financij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jf.hr/hr/publikacije/casopisi/newslette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pse-journal.hr/en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d@ijf.h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mfabris</cp:lastModifiedBy>
  <cp:revision>2</cp:revision>
  <dcterms:created xsi:type="dcterms:W3CDTF">2022-12-27T07:14:00Z</dcterms:created>
  <dcterms:modified xsi:type="dcterms:W3CDTF">2022-12-27T07:14:00Z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d5973317d4519956916bf9c9f99c5e340f052d73e1d1f85ce93d0d7e832a60d9</vt:lpwstr>
  </property>
</Properties>
</file>