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8FA" w14:textId="77777777" w:rsidR="00C85E14" w:rsidRDefault="00C85E14" w:rsidP="00C85E14">
      <w:pPr>
        <w:spacing w:line="240" w:lineRule="auto"/>
        <w:rPr>
          <w:rFonts w:ascii="Arial" w:hAnsi="Arial" w:cs="Arial"/>
          <w:b/>
          <w:smallCaps/>
        </w:rPr>
      </w:pPr>
    </w:p>
    <w:p w14:paraId="1ECB3C38" w14:textId="77777777" w:rsidR="00C85E14" w:rsidRDefault="00C85E14" w:rsidP="00C85E14">
      <w:pPr>
        <w:spacing w:line="240" w:lineRule="auto"/>
        <w:rPr>
          <w:rFonts w:ascii="Arial" w:hAnsi="Arial" w:cs="Arial"/>
          <w:b/>
          <w:i/>
        </w:rPr>
      </w:pPr>
    </w:p>
    <w:p w14:paraId="448932DE" w14:textId="77777777" w:rsidR="003C37A7" w:rsidRPr="00575F0D" w:rsidRDefault="00C85E14" w:rsidP="006C2C8A">
      <w:pPr>
        <w:spacing w:after="0" w:line="300" w:lineRule="atLeast"/>
        <w:rPr>
          <w:rFonts w:ascii="Arial" w:hAnsi="Arial" w:cs="Arial"/>
        </w:rPr>
      </w:pPr>
      <w:r w:rsidRPr="00E576A2">
        <w:rPr>
          <w:rFonts w:ascii="Arial" w:hAnsi="Arial" w:cs="Arial"/>
        </w:rPr>
        <w:t xml:space="preserve">Zagreb, </w:t>
      </w:r>
      <w:r w:rsidR="003C37A7" w:rsidRPr="00E576A2">
        <w:rPr>
          <w:rFonts w:ascii="Arial" w:hAnsi="Arial" w:cs="Arial"/>
        </w:rPr>
        <w:t>18. srpnja 2024.</w:t>
      </w:r>
      <w:r w:rsidR="003C37A7" w:rsidRPr="00575F0D">
        <w:rPr>
          <w:rFonts w:ascii="Arial" w:hAnsi="Arial" w:cs="Arial"/>
        </w:rPr>
        <w:t xml:space="preserve"> </w:t>
      </w:r>
    </w:p>
    <w:p w14:paraId="3DA2D64E" w14:textId="77777777" w:rsidR="003C37A7" w:rsidRPr="00575F0D" w:rsidRDefault="003C37A7" w:rsidP="006C2C8A">
      <w:pPr>
        <w:spacing w:after="0" w:line="300" w:lineRule="atLeast"/>
        <w:rPr>
          <w:rFonts w:ascii="Arial" w:hAnsi="Arial" w:cs="Arial"/>
        </w:rPr>
      </w:pPr>
    </w:p>
    <w:p w14:paraId="4E898297" w14:textId="525249C3" w:rsidR="008D4EA3" w:rsidRPr="009C6138" w:rsidRDefault="009C6138" w:rsidP="006C2C8A">
      <w:pPr>
        <w:spacing w:after="0" w:line="300" w:lineRule="atLeast"/>
        <w:rPr>
          <w:rFonts w:ascii="Arial" w:hAnsi="Arial" w:cs="Arial"/>
          <w:b/>
        </w:rPr>
      </w:pPr>
      <w:r w:rsidRPr="009C6138">
        <w:rPr>
          <w:rFonts w:ascii="Arial" w:hAnsi="Arial" w:cs="Arial"/>
          <w:b/>
        </w:rPr>
        <w:t>OBJAVA ZA MEDIJE</w:t>
      </w:r>
    </w:p>
    <w:p w14:paraId="011182B0" w14:textId="12483820" w:rsidR="003C37A7" w:rsidRPr="009C6138" w:rsidRDefault="009C6138" w:rsidP="003C37A7">
      <w:pPr>
        <w:spacing w:after="0" w:line="300" w:lineRule="atLeast"/>
        <w:rPr>
          <w:rFonts w:ascii="Arial" w:hAnsi="Arial" w:cs="Arial"/>
          <w:b/>
          <w:color w:val="C00000"/>
          <w:sz w:val="24"/>
          <w:szCs w:val="24"/>
        </w:rPr>
      </w:pPr>
      <w:r w:rsidRPr="009C6138">
        <w:rPr>
          <w:rFonts w:ascii="Arial" w:hAnsi="Arial" w:cs="Arial"/>
          <w:b/>
          <w:color w:val="C00000"/>
          <w:sz w:val="24"/>
          <w:szCs w:val="24"/>
        </w:rPr>
        <w:t>DRŽAVNI PRORAČUN ZA 2025. – NA TEMELJU ČEGA, KADA I KAKAV?</w:t>
      </w:r>
    </w:p>
    <w:p w14:paraId="0DB8439F" w14:textId="77777777" w:rsidR="00F13487" w:rsidRPr="00223FD2" w:rsidRDefault="00F13487" w:rsidP="006C2C8A">
      <w:pPr>
        <w:pBdr>
          <w:bottom w:val="single" w:sz="4" w:space="1" w:color="808080" w:themeColor="background1" w:themeShade="80"/>
        </w:pBdr>
        <w:spacing w:after="0" w:line="300" w:lineRule="atLeast"/>
        <w:rPr>
          <w:rFonts w:ascii="Arial" w:hAnsi="Arial" w:cs="Arial"/>
          <w:b/>
          <w:bCs/>
          <w:color w:val="C00000"/>
          <w:sz w:val="18"/>
          <w:szCs w:val="18"/>
        </w:rPr>
      </w:pPr>
    </w:p>
    <w:p w14:paraId="4E49F8F4" w14:textId="77777777" w:rsidR="00FA3E45" w:rsidRPr="00575F0D" w:rsidRDefault="00FA3E45" w:rsidP="006C2C8A">
      <w:pPr>
        <w:spacing w:after="0" w:line="300" w:lineRule="atLeast"/>
        <w:rPr>
          <w:rFonts w:ascii="Arial" w:hAnsi="Arial" w:cs="Arial"/>
          <w:i/>
          <w:iCs/>
        </w:rPr>
      </w:pPr>
    </w:p>
    <w:p w14:paraId="1CE9D455" w14:textId="7065A4D8" w:rsidR="003C37A7" w:rsidRPr="00F82596" w:rsidRDefault="00E17329" w:rsidP="003C37A7">
      <w:pPr>
        <w:rPr>
          <w:rFonts w:ascii="Arial" w:hAnsi="Arial" w:cs="Arial"/>
          <w:i/>
          <w:iCs/>
        </w:rPr>
      </w:pPr>
      <w:r w:rsidRPr="00F82596">
        <w:rPr>
          <w:rFonts w:ascii="Arial" w:hAnsi="Arial" w:cs="Arial"/>
          <w:i/>
          <w:iCs/>
        </w:rPr>
        <w:t>U novom</w:t>
      </w:r>
      <w:r w:rsidR="00A7512D" w:rsidRPr="00F82596">
        <w:rPr>
          <w:rFonts w:ascii="Arial" w:hAnsi="Arial" w:cs="Arial"/>
          <w:i/>
          <w:iCs/>
        </w:rPr>
        <w:t>e</w:t>
      </w:r>
      <w:r w:rsidRPr="00F82596">
        <w:rPr>
          <w:rFonts w:ascii="Arial" w:hAnsi="Arial" w:cs="Arial"/>
          <w:i/>
          <w:iCs/>
        </w:rPr>
        <w:t xml:space="preserve"> broju </w:t>
      </w:r>
      <w:hyperlink r:id="rId8" w:history="1">
        <w:r w:rsidRPr="00E576A2">
          <w:rPr>
            <w:rStyle w:val="Hyperlink"/>
            <w:rFonts w:ascii="Arial" w:hAnsi="Arial" w:cs="Arial"/>
            <w:i/>
            <w:iCs/>
            <w:color w:val="C00000"/>
            <w:u w:val="none"/>
          </w:rPr>
          <w:t>Osvrta Instituta za javne financije</w:t>
        </w:r>
      </w:hyperlink>
      <w:r w:rsidRPr="00F82596">
        <w:rPr>
          <w:rFonts w:ascii="Arial" w:hAnsi="Arial" w:cs="Arial"/>
          <w:i/>
          <w:iCs/>
        </w:rPr>
        <w:t xml:space="preserve"> </w:t>
      </w:r>
      <w:r w:rsidR="003C37A7" w:rsidRPr="00F82596">
        <w:rPr>
          <w:rFonts w:ascii="Arial" w:hAnsi="Arial" w:cs="Arial"/>
          <w:b/>
          <w:i/>
          <w:iCs/>
        </w:rPr>
        <w:t xml:space="preserve">Katarina Ott </w:t>
      </w:r>
      <w:r w:rsidR="003C37A7" w:rsidRPr="00F82596">
        <w:rPr>
          <w:rFonts w:ascii="Arial" w:hAnsi="Arial" w:cs="Arial"/>
          <w:i/>
          <w:iCs/>
        </w:rPr>
        <w:t xml:space="preserve">komentira neizvjesnosti izazvane reformom zakonodavnog okvira gospodarskog i fiskalnog upravljanja Europskom unijom </w:t>
      </w:r>
      <w:r w:rsidR="00575F0D" w:rsidRPr="00F82596">
        <w:rPr>
          <w:rFonts w:ascii="Arial" w:hAnsi="Arial" w:cs="Arial"/>
          <w:i/>
          <w:iCs/>
        </w:rPr>
        <w:t xml:space="preserve">čiji je cilj </w:t>
      </w:r>
      <w:r w:rsidR="003C37A7" w:rsidRPr="00F82596">
        <w:rPr>
          <w:rFonts w:ascii="Arial" w:hAnsi="Arial" w:cs="Arial"/>
          <w:i/>
          <w:iCs/>
        </w:rPr>
        <w:t xml:space="preserve">osigurati zdrave i održive javne financije </w:t>
      </w:r>
      <w:r w:rsidR="008B20D7" w:rsidRPr="00F82596">
        <w:rPr>
          <w:rFonts w:ascii="Arial" w:hAnsi="Arial" w:cs="Arial"/>
          <w:i/>
          <w:iCs/>
        </w:rPr>
        <w:t>te</w:t>
      </w:r>
      <w:r w:rsidR="003C37A7" w:rsidRPr="00F82596">
        <w:rPr>
          <w:rFonts w:ascii="Arial" w:hAnsi="Arial" w:cs="Arial"/>
          <w:i/>
          <w:iCs/>
        </w:rPr>
        <w:t xml:space="preserve"> </w:t>
      </w:r>
      <w:r w:rsidR="00784EBA" w:rsidRPr="00F82596">
        <w:rPr>
          <w:rFonts w:ascii="Arial" w:hAnsi="Arial" w:cs="Arial"/>
          <w:i/>
          <w:iCs/>
        </w:rPr>
        <w:t>promica</w:t>
      </w:r>
      <w:r w:rsidR="00784EBA">
        <w:rPr>
          <w:rFonts w:ascii="Arial" w:hAnsi="Arial" w:cs="Arial"/>
          <w:i/>
          <w:iCs/>
        </w:rPr>
        <w:t>ti</w:t>
      </w:r>
      <w:r w:rsidR="00784EBA" w:rsidRPr="00F82596">
        <w:rPr>
          <w:rFonts w:ascii="Arial" w:hAnsi="Arial" w:cs="Arial"/>
          <w:i/>
          <w:iCs/>
        </w:rPr>
        <w:t xml:space="preserve"> </w:t>
      </w:r>
      <w:r w:rsidR="003C37A7" w:rsidRPr="00F82596">
        <w:rPr>
          <w:rFonts w:ascii="Arial" w:hAnsi="Arial" w:cs="Arial"/>
          <w:i/>
          <w:iCs/>
        </w:rPr>
        <w:t>održiv i uključiv rast u svim državama članicama</w:t>
      </w:r>
      <w:r w:rsidR="008244FE" w:rsidRPr="00F82596">
        <w:rPr>
          <w:rFonts w:ascii="Arial" w:hAnsi="Arial" w:cs="Arial"/>
          <w:i/>
          <w:iCs/>
        </w:rPr>
        <w:t xml:space="preserve">. </w:t>
      </w:r>
      <w:r w:rsidR="00784EBA">
        <w:rPr>
          <w:rFonts w:ascii="Arial" w:hAnsi="Arial" w:cs="Arial"/>
          <w:i/>
          <w:iCs/>
        </w:rPr>
        <w:t>Stoga se postavlja pitanje k</w:t>
      </w:r>
      <w:r w:rsidR="008244FE" w:rsidRPr="00F82596">
        <w:rPr>
          <w:rFonts w:ascii="Arial" w:hAnsi="Arial" w:cs="Arial"/>
          <w:i/>
          <w:iCs/>
        </w:rPr>
        <w:t xml:space="preserve">ako će </w:t>
      </w:r>
      <w:r w:rsidR="008B20D7" w:rsidRPr="00F82596">
        <w:rPr>
          <w:rFonts w:ascii="Arial" w:hAnsi="Arial" w:cs="Arial"/>
          <w:i/>
          <w:iCs/>
        </w:rPr>
        <w:t xml:space="preserve">ta </w:t>
      </w:r>
      <w:r w:rsidR="008244FE" w:rsidRPr="00F82596">
        <w:rPr>
          <w:rFonts w:ascii="Arial" w:hAnsi="Arial" w:cs="Arial"/>
          <w:i/>
          <w:iCs/>
        </w:rPr>
        <w:t xml:space="preserve">reforma utjecati na proračunski proces ove godine, </w:t>
      </w:r>
      <w:r w:rsidR="003C37A7" w:rsidRPr="00F82596">
        <w:rPr>
          <w:rFonts w:ascii="Arial" w:hAnsi="Arial" w:cs="Arial"/>
          <w:i/>
          <w:iCs/>
        </w:rPr>
        <w:t xml:space="preserve">i kakav </w:t>
      </w:r>
      <w:r w:rsidR="008244FE" w:rsidRPr="00F82596">
        <w:rPr>
          <w:rFonts w:ascii="Arial" w:hAnsi="Arial" w:cs="Arial"/>
          <w:i/>
          <w:iCs/>
        </w:rPr>
        <w:t>ć</w:t>
      </w:r>
      <w:r w:rsidR="003C37A7" w:rsidRPr="00F82596">
        <w:rPr>
          <w:rFonts w:ascii="Arial" w:hAnsi="Arial" w:cs="Arial"/>
          <w:i/>
          <w:iCs/>
        </w:rPr>
        <w:t>e se državni proračun</w:t>
      </w:r>
      <w:r w:rsidR="004B77F4">
        <w:rPr>
          <w:rFonts w:ascii="Arial" w:hAnsi="Arial" w:cs="Arial"/>
          <w:i/>
          <w:iCs/>
        </w:rPr>
        <w:t xml:space="preserve"> donijeti</w:t>
      </w:r>
      <w:r w:rsidR="003C37A7" w:rsidRPr="00F82596">
        <w:rPr>
          <w:rFonts w:ascii="Arial" w:hAnsi="Arial" w:cs="Arial"/>
          <w:i/>
          <w:iCs/>
        </w:rPr>
        <w:t xml:space="preserve"> za 2025.</w:t>
      </w:r>
    </w:p>
    <w:p w14:paraId="72D4471A" w14:textId="748AB266" w:rsidR="008244FE" w:rsidRPr="00F82596" w:rsidRDefault="008244FE" w:rsidP="00223FD2">
      <w:pPr>
        <w:spacing w:before="600" w:after="0"/>
        <w:rPr>
          <w:rFonts w:ascii="Arial" w:hAnsi="Arial" w:cs="Arial"/>
          <w:iCs/>
        </w:rPr>
      </w:pPr>
      <w:r w:rsidRPr="00F82596">
        <w:rPr>
          <w:rFonts w:ascii="Arial" w:hAnsi="Arial" w:cs="Arial"/>
          <w:iCs/>
        </w:rPr>
        <w:t>Proračun je rezultat političkog pregovaračkog procesa, pa je uvijek teško reći kakav se proračun može očekivati za iduću godinu, a pogotovo u situaciji kada Hrvatska nakon parlamentarnih izbora ima novu Vladu, donekle promijenjenog političkog sastava u odnosu na dvije prethodne. Sredinom srpnja javnost je obično – iščekujući upute za izradu državnog proračuna – imala već prilično jasan uvid u makroekonomski, fiskalni i proračunski okvir za iduće tri godine, no ove godine to nije slučaj. Naime, na mrežnim stranicama Ministarstva financija i Vlade nije moguće naći ništa o proračunu za 2025. i projekcijama za 2026.-2027., a nema ni Programa konvergencije koji je Vlada po dosadašnjim procedurama trebala poslati Europskoj komisiji</w:t>
      </w:r>
      <w:r w:rsidR="0043127D">
        <w:rPr>
          <w:rFonts w:ascii="Arial" w:hAnsi="Arial" w:cs="Arial"/>
          <w:iCs/>
        </w:rPr>
        <w:t xml:space="preserve"> </w:t>
      </w:r>
      <w:r w:rsidR="0043127D" w:rsidRPr="00F82596">
        <w:rPr>
          <w:rFonts w:ascii="Arial" w:hAnsi="Arial" w:cs="Arial"/>
          <w:iCs/>
        </w:rPr>
        <w:t>do kraja travnja</w:t>
      </w:r>
      <w:r w:rsidRPr="00F82596">
        <w:rPr>
          <w:rFonts w:ascii="Arial" w:hAnsi="Arial" w:cs="Arial"/>
          <w:iCs/>
        </w:rPr>
        <w:t xml:space="preserve">, kao ni Odluke o proračunskom okviru koji je trebala usvojiti do kraja lipnja. </w:t>
      </w:r>
      <w:r w:rsidR="004B77F4">
        <w:rPr>
          <w:rFonts w:ascii="Arial" w:hAnsi="Arial" w:cs="Arial"/>
          <w:iCs/>
        </w:rPr>
        <w:t>Ako</w:t>
      </w:r>
      <w:r w:rsidRPr="00F82596">
        <w:rPr>
          <w:rFonts w:ascii="Arial" w:hAnsi="Arial" w:cs="Arial"/>
          <w:iCs/>
        </w:rPr>
        <w:t xml:space="preserve"> je nedostatak tih informacija posljedica zbivanja na razini EU-a, izvršna bi vlast trebala informirati javnost o tim novostima.</w:t>
      </w:r>
    </w:p>
    <w:p w14:paraId="41A4F493" w14:textId="2CB8DF55" w:rsidR="008244FE" w:rsidRPr="00F82596" w:rsidRDefault="0043127D" w:rsidP="00223FD2">
      <w:pPr>
        <w:spacing w:before="240" w:after="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</w:t>
      </w:r>
      <w:r w:rsidR="00575F0D" w:rsidRPr="00F82596">
        <w:rPr>
          <w:rFonts w:ascii="Arial" w:eastAsia="Times New Roman" w:hAnsi="Arial" w:cs="Arial"/>
          <w:lang w:eastAsia="hr-HR"/>
        </w:rPr>
        <w:t xml:space="preserve">avnost treba znati </w:t>
      </w:r>
      <w:r w:rsidR="008244FE" w:rsidRPr="00F82596">
        <w:rPr>
          <w:rFonts w:ascii="Arial" w:eastAsia="Times New Roman" w:hAnsi="Arial" w:cs="Arial"/>
          <w:lang w:eastAsia="hr-HR"/>
        </w:rPr>
        <w:t xml:space="preserve">na temelju čega i kada </w:t>
      </w:r>
      <w:r w:rsidR="005141B9" w:rsidRPr="00F82596">
        <w:rPr>
          <w:rFonts w:ascii="Arial" w:eastAsia="Times New Roman" w:hAnsi="Arial" w:cs="Arial"/>
          <w:lang w:eastAsia="hr-HR"/>
        </w:rPr>
        <w:t xml:space="preserve">će </w:t>
      </w:r>
      <w:r w:rsidR="008244FE" w:rsidRPr="00F82596">
        <w:rPr>
          <w:rFonts w:ascii="Arial" w:eastAsia="Times New Roman" w:hAnsi="Arial" w:cs="Arial"/>
          <w:lang w:eastAsia="hr-HR"/>
        </w:rPr>
        <w:t>Ministarstvo financija moći donijeti uputu za izradu proračuna za iduće trogodišnje razdoblje</w:t>
      </w:r>
      <w:r>
        <w:rPr>
          <w:rFonts w:ascii="Arial" w:eastAsia="Times New Roman" w:hAnsi="Arial" w:cs="Arial"/>
          <w:lang w:eastAsia="hr-HR"/>
        </w:rPr>
        <w:t>.</w:t>
      </w:r>
      <w:r w:rsidR="008244FE" w:rsidRPr="00F82596">
        <w:rPr>
          <w:rFonts w:ascii="Arial" w:eastAsia="Times New Roman" w:hAnsi="Arial" w:cs="Arial"/>
          <w:lang w:eastAsia="hr-HR"/>
        </w:rPr>
        <w:t xml:space="preserve"> Ministarstva i druga državna tijela takvu su uputu ranijih godina dobivala (ili su je bar trebala dobivati) </w:t>
      </w:r>
      <w:r w:rsidR="00575F0D" w:rsidRPr="00F82596">
        <w:rPr>
          <w:rFonts w:ascii="Arial" w:eastAsia="Times New Roman" w:hAnsi="Arial" w:cs="Arial"/>
          <w:lang w:eastAsia="hr-HR"/>
        </w:rPr>
        <w:t xml:space="preserve">sredinom </w:t>
      </w:r>
      <w:r w:rsidR="008244FE" w:rsidRPr="00F82596">
        <w:rPr>
          <w:rFonts w:ascii="Arial" w:eastAsia="Times New Roman" w:hAnsi="Arial" w:cs="Arial"/>
          <w:lang w:eastAsia="hr-HR"/>
        </w:rPr>
        <w:t>kolovoza. Ako im uputa za izradu proračuna za iduću stigne tek pri kraju ove godine, računovodstva proračunskih korisnika opet će biti u nezavidnoj poziciji</w:t>
      </w:r>
      <w:r w:rsidR="005B5C5E">
        <w:rPr>
          <w:rFonts w:ascii="Arial" w:eastAsia="Times New Roman" w:hAnsi="Arial" w:cs="Arial"/>
          <w:lang w:eastAsia="hr-HR"/>
        </w:rPr>
        <w:t xml:space="preserve"> pa će</w:t>
      </w:r>
      <w:r w:rsidR="008244FE" w:rsidRPr="00F82596">
        <w:rPr>
          <w:rFonts w:ascii="Arial" w:eastAsia="Times New Roman" w:hAnsi="Arial" w:cs="Arial"/>
          <w:lang w:eastAsia="hr-HR"/>
        </w:rPr>
        <w:t xml:space="preserve"> kao i prošlih godina</w:t>
      </w:r>
      <w:r w:rsidR="005B5C5E">
        <w:rPr>
          <w:rFonts w:ascii="Arial" w:eastAsia="Times New Roman" w:hAnsi="Arial" w:cs="Arial"/>
          <w:lang w:eastAsia="hr-HR"/>
        </w:rPr>
        <w:t>,</w:t>
      </w:r>
      <w:r w:rsidR="008244FE" w:rsidRPr="00F82596">
        <w:rPr>
          <w:rFonts w:ascii="Arial" w:eastAsia="Times New Roman" w:hAnsi="Arial" w:cs="Arial"/>
          <w:lang w:eastAsia="hr-HR"/>
        </w:rPr>
        <w:t xml:space="preserve"> kada su </w:t>
      </w:r>
      <w:r w:rsidR="005B5C5E">
        <w:rPr>
          <w:rFonts w:ascii="Arial" w:eastAsia="Times New Roman" w:hAnsi="Arial" w:cs="Arial"/>
          <w:lang w:eastAsia="hr-HR"/>
        </w:rPr>
        <w:t xml:space="preserve">upute </w:t>
      </w:r>
      <w:r w:rsidR="008244FE" w:rsidRPr="00F82596">
        <w:rPr>
          <w:rFonts w:ascii="Arial" w:eastAsia="Times New Roman" w:hAnsi="Arial" w:cs="Arial"/>
          <w:lang w:eastAsia="hr-HR"/>
        </w:rPr>
        <w:t>često dolazile u zadnji čas i s kratkim rokovima za izradu prijedloga</w:t>
      </w:r>
      <w:r>
        <w:rPr>
          <w:rFonts w:ascii="Arial" w:eastAsia="Times New Roman" w:hAnsi="Arial" w:cs="Arial"/>
          <w:lang w:eastAsia="hr-HR"/>
        </w:rPr>
        <w:t>,</w:t>
      </w:r>
      <w:r w:rsidR="008244FE" w:rsidRPr="00F82596">
        <w:rPr>
          <w:rFonts w:ascii="Arial" w:eastAsia="Times New Roman" w:hAnsi="Arial" w:cs="Arial"/>
          <w:lang w:eastAsia="hr-HR"/>
        </w:rPr>
        <w:t xml:space="preserve"> </w:t>
      </w:r>
      <w:r w:rsidR="005B5C5E">
        <w:rPr>
          <w:rFonts w:ascii="Arial" w:eastAsia="Times New Roman" w:hAnsi="Arial" w:cs="Arial"/>
          <w:lang w:eastAsia="hr-HR"/>
        </w:rPr>
        <w:t xml:space="preserve">biti </w:t>
      </w:r>
      <w:r w:rsidR="008244FE" w:rsidRPr="00F82596">
        <w:rPr>
          <w:rFonts w:ascii="Arial" w:eastAsia="Times New Roman" w:hAnsi="Arial" w:cs="Arial"/>
          <w:lang w:eastAsia="hr-HR"/>
        </w:rPr>
        <w:t xml:space="preserve">u </w:t>
      </w:r>
      <w:r w:rsidR="00AC5504">
        <w:rPr>
          <w:rFonts w:ascii="Arial" w:eastAsia="Times New Roman" w:hAnsi="Arial" w:cs="Arial"/>
          <w:lang w:eastAsia="hr-HR"/>
        </w:rPr>
        <w:t>vremenskom tjesnacu</w:t>
      </w:r>
      <w:r w:rsidR="008244FE" w:rsidRPr="00F82596">
        <w:rPr>
          <w:rFonts w:ascii="Arial" w:eastAsia="Times New Roman" w:hAnsi="Arial" w:cs="Arial"/>
          <w:lang w:eastAsia="hr-HR"/>
        </w:rPr>
        <w:t xml:space="preserve"> </w:t>
      </w:r>
      <w:r w:rsidR="008B20D7" w:rsidRPr="00F82596">
        <w:rPr>
          <w:rFonts w:ascii="Arial" w:eastAsia="Times New Roman" w:hAnsi="Arial" w:cs="Arial"/>
          <w:lang w:eastAsia="hr-HR"/>
        </w:rPr>
        <w:t xml:space="preserve">za izradu </w:t>
      </w:r>
      <w:r w:rsidR="00575F0D" w:rsidRPr="00F82596">
        <w:rPr>
          <w:rFonts w:ascii="Arial" w:eastAsia="Times New Roman" w:hAnsi="Arial" w:cs="Arial"/>
          <w:lang w:eastAsia="hr-HR"/>
        </w:rPr>
        <w:t xml:space="preserve">realnih </w:t>
      </w:r>
      <w:r w:rsidR="008244FE" w:rsidRPr="00F82596">
        <w:rPr>
          <w:rFonts w:ascii="Arial" w:eastAsia="Times New Roman" w:hAnsi="Arial" w:cs="Arial"/>
          <w:lang w:eastAsia="hr-HR"/>
        </w:rPr>
        <w:t xml:space="preserve">vlastitih financijskih planova. </w:t>
      </w:r>
    </w:p>
    <w:p w14:paraId="04F194A1" w14:textId="14CC2168" w:rsidR="008244FE" w:rsidRPr="00F82596" w:rsidRDefault="00575F0D" w:rsidP="00223FD2">
      <w:pPr>
        <w:spacing w:before="240" w:after="0"/>
        <w:rPr>
          <w:rFonts w:ascii="Arial" w:eastAsia="Times New Roman" w:hAnsi="Arial" w:cs="Arial"/>
          <w:lang w:eastAsia="hr-HR"/>
        </w:rPr>
      </w:pPr>
      <w:r w:rsidRPr="00F82596">
        <w:rPr>
          <w:rFonts w:ascii="Arial" w:eastAsia="Times New Roman" w:hAnsi="Arial" w:cs="Arial"/>
          <w:lang w:eastAsia="hr-HR"/>
        </w:rPr>
        <w:t>I</w:t>
      </w:r>
      <w:r w:rsidR="008244FE" w:rsidRPr="00F82596">
        <w:rPr>
          <w:rFonts w:ascii="Arial" w:eastAsia="Times New Roman" w:hAnsi="Arial" w:cs="Arial"/>
          <w:lang w:eastAsia="hr-HR"/>
        </w:rPr>
        <w:t xml:space="preserve"> ranije je bilo izrazito malo vremena za izradu prijedloga državnog proračuna, te za rasprave i usvajanje proračuna u Saboru, a ove bi ga godine moglo biti još manje. Tu se jednostavno nameć</w:t>
      </w:r>
      <w:r w:rsidR="0043127D">
        <w:rPr>
          <w:rFonts w:ascii="Arial" w:eastAsia="Times New Roman" w:hAnsi="Arial" w:cs="Arial"/>
          <w:lang w:eastAsia="hr-HR"/>
        </w:rPr>
        <w:t>u</w:t>
      </w:r>
      <w:r w:rsidR="008244FE" w:rsidRPr="00F82596">
        <w:rPr>
          <w:rFonts w:ascii="Arial" w:eastAsia="Times New Roman" w:hAnsi="Arial" w:cs="Arial"/>
          <w:lang w:eastAsia="hr-HR"/>
        </w:rPr>
        <w:t xml:space="preserve"> preporuk</w:t>
      </w:r>
      <w:r w:rsidR="0043127D">
        <w:rPr>
          <w:rFonts w:ascii="Arial" w:eastAsia="Times New Roman" w:hAnsi="Arial" w:cs="Arial"/>
          <w:lang w:eastAsia="hr-HR"/>
        </w:rPr>
        <w:t>e</w:t>
      </w:r>
      <w:r w:rsidR="008244FE" w:rsidRPr="00F82596">
        <w:rPr>
          <w:rFonts w:ascii="Arial" w:eastAsia="Times New Roman" w:hAnsi="Arial" w:cs="Arial"/>
          <w:lang w:eastAsia="hr-HR"/>
        </w:rPr>
        <w:t xml:space="preserve"> </w:t>
      </w:r>
      <w:r w:rsidR="0043127D" w:rsidRPr="00AC5504">
        <w:rPr>
          <w:rFonts w:ascii="Arial" w:eastAsia="Times New Roman" w:hAnsi="Arial" w:cs="Arial"/>
          <w:lang w:eastAsia="hr-HR"/>
        </w:rPr>
        <w:t xml:space="preserve">Mihaele </w:t>
      </w:r>
      <w:r w:rsidRPr="00AC5504">
        <w:rPr>
          <w:rFonts w:ascii="Arial" w:eastAsia="Times New Roman" w:hAnsi="Arial" w:cs="Arial"/>
          <w:lang w:eastAsia="hr-HR"/>
        </w:rPr>
        <w:t xml:space="preserve">Bronić i </w:t>
      </w:r>
      <w:r w:rsidR="0043127D" w:rsidRPr="00AC5504">
        <w:rPr>
          <w:rFonts w:ascii="Arial" w:eastAsia="Times New Roman" w:hAnsi="Arial" w:cs="Arial"/>
          <w:lang w:eastAsia="hr-HR"/>
        </w:rPr>
        <w:t xml:space="preserve">Josipa </w:t>
      </w:r>
      <w:r w:rsidRPr="00AC5504">
        <w:rPr>
          <w:rFonts w:ascii="Arial" w:eastAsia="Times New Roman" w:hAnsi="Arial" w:cs="Arial"/>
          <w:lang w:eastAsia="hr-HR"/>
        </w:rPr>
        <w:t>Franić</w:t>
      </w:r>
      <w:r w:rsidR="0043127D" w:rsidRPr="00AC5504">
        <w:rPr>
          <w:rFonts w:ascii="Arial" w:eastAsia="Times New Roman" w:hAnsi="Arial" w:cs="Arial"/>
          <w:lang w:eastAsia="hr-HR"/>
        </w:rPr>
        <w:t>a</w:t>
      </w:r>
      <w:r w:rsidRPr="00AC5504">
        <w:rPr>
          <w:rFonts w:ascii="Arial" w:eastAsia="Times New Roman" w:hAnsi="Arial" w:cs="Arial"/>
          <w:lang w:eastAsia="hr-HR"/>
        </w:rPr>
        <w:t xml:space="preserve"> </w:t>
      </w:r>
      <w:r w:rsidR="005B5C5E">
        <w:rPr>
          <w:rFonts w:ascii="Arial" w:eastAsia="Times New Roman" w:hAnsi="Arial" w:cs="Arial"/>
          <w:lang w:eastAsia="hr-HR"/>
        </w:rPr>
        <w:t xml:space="preserve">iz </w:t>
      </w:r>
      <w:hyperlink r:id="rId9" w:history="1">
        <w:r w:rsidR="005B5C5E" w:rsidRPr="007D1D28">
          <w:rPr>
            <w:rStyle w:val="Hyperlink"/>
            <w:rFonts w:ascii="Arial" w:eastAsia="Times New Roman" w:hAnsi="Arial" w:cs="Arial"/>
            <w:color w:val="C00000"/>
            <w:u w:val="none"/>
            <w:lang w:eastAsia="hr-HR"/>
          </w:rPr>
          <w:t>analize</w:t>
        </w:r>
        <w:r w:rsidR="00E37B0F" w:rsidRPr="007D1D28">
          <w:rPr>
            <w:rStyle w:val="Hyperlink"/>
            <w:rFonts w:ascii="Arial" w:eastAsia="Times New Roman" w:hAnsi="Arial" w:cs="Arial"/>
            <w:color w:val="C00000"/>
            <w:u w:val="none"/>
            <w:lang w:eastAsia="hr-HR"/>
          </w:rPr>
          <w:t xml:space="preserve"> Instituta za javne financije</w:t>
        </w:r>
      </w:hyperlink>
      <w:r w:rsidRPr="00F82596">
        <w:rPr>
          <w:rFonts w:ascii="Arial" w:eastAsia="Times New Roman" w:hAnsi="Arial" w:cs="Arial"/>
          <w:lang w:eastAsia="hr-HR"/>
        </w:rPr>
        <w:t xml:space="preserve"> </w:t>
      </w:r>
      <w:r w:rsidR="008244FE" w:rsidRPr="00F82596">
        <w:rPr>
          <w:rFonts w:ascii="Arial" w:eastAsia="Times New Roman" w:hAnsi="Arial" w:cs="Arial"/>
          <w:lang w:eastAsia="hr-HR"/>
        </w:rPr>
        <w:t xml:space="preserve">o rezultatima Hrvatske u međunarodnom istraživanju o otvorenosti proračuna središnje države: </w:t>
      </w:r>
      <w:r w:rsidR="00A84E0B" w:rsidRPr="00A84E0B">
        <w:rPr>
          <w:rFonts w:ascii="Arial" w:eastAsia="Times New Roman" w:hAnsi="Arial" w:cs="Arial"/>
          <w:lang w:eastAsia="hr-HR"/>
        </w:rPr>
        <w:t>“</w:t>
      </w:r>
      <w:r w:rsidR="008244FE" w:rsidRPr="00F82596">
        <w:rPr>
          <w:rFonts w:ascii="Arial" w:eastAsia="Times New Roman" w:hAnsi="Arial" w:cs="Arial"/>
          <w:lang w:eastAsia="hr-HR"/>
        </w:rPr>
        <w:t>Snažnija uloga Sabora u nadzoru proračuna u prvome redu zahtijeva njegovo uključivanje u postupak planiranja proračunskih politika, odnosno u početnu fazu proračunskoga procesa. Za početak, Vlada bi trebala poslati prijedlog proračuna u Sabor barem dva mjeseca prije početka nove fiskalne godine kako bi saborski zastupnici imali dovoljno vremena za analizu toga dokumenta.</w:t>
      </w:r>
      <w:r w:rsidR="00A84E0B" w:rsidRPr="00A84E0B">
        <w:rPr>
          <w:rFonts w:ascii="Arial" w:eastAsia="Times New Roman" w:hAnsi="Arial" w:cs="Arial"/>
          <w:lang w:eastAsia="hr-HR"/>
        </w:rPr>
        <w:t>”</w:t>
      </w:r>
      <w:r w:rsidR="008244FE" w:rsidRPr="00F82596">
        <w:rPr>
          <w:rFonts w:ascii="Arial" w:eastAsia="Times New Roman" w:hAnsi="Arial" w:cs="Arial"/>
          <w:lang w:eastAsia="hr-HR"/>
        </w:rPr>
        <w:t xml:space="preserve"> </w:t>
      </w:r>
    </w:p>
    <w:p w14:paraId="1468CC57" w14:textId="02D8F32A" w:rsidR="008244FE" w:rsidRPr="00F82596" w:rsidRDefault="00A84E0B" w:rsidP="00223FD2">
      <w:pPr>
        <w:spacing w:before="240" w:after="0"/>
        <w:rPr>
          <w:rFonts w:ascii="Arial" w:eastAsia="Times New Roman" w:hAnsi="Arial" w:cs="Arial"/>
          <w:lang w:eastAsia="hr-HR"/>
        </w:rPr>
      </w:pPr>
      <w:r w:rsidRPr="00A84E0B">
        <w:rPr>
          <w:rFonts w:ascii="Arial" w:eastAsia="Times New Roman" w:hAnsi="Arial" w:cs="Arial"/>
          <w:i/>
          <w:iCs/>
          <w:lang w:eastAsia="hr-HR"/>
        </w:rPr>
        <w:t>“</w:t>
      </w:r>
      <w:r w:rsidR="008244FE" w:rsidRPr="005B5C5E">
        <w:rPr>
          <w:rFonts w:ascii="Arial" w:eastAsia="Times New Roman" w:hAnsi="Arial" w:cs="Arial"/>
          <w:i/>
          <w:iCs/>
          <w:lang w:eastAsia="hr-HR"/>
        </w:rPr>
        <w:t>Ministarstvo financija trebalo bi čim prije objaviti informacije o rokovima i planovima oko novog proračunskog okvira, kako bi javnost znala kako će sve to izgledati ove godine. Hoće li tako i postupiti, tek ćemo vidjeti. Nadajmo se da hoće</w:t>
      </w:r>
      <w:r w:rsidR="005B5C5E">
        <w:rPr>
          <w:rFonts w:ascii="Arial" w:eastAsia="Times New Roman" w:hAnsi="Arial" w:cs="Arial"/>
          <w:i/>
          <w:iCs/>
          <w:lang w:eastAsia="hr-HR"/>
        </w:rPr>
        <w:t>.</w:t>
      </w:r>
      <w:r>
        <w:rPr>
          <w:rFonts w:ascii="Arial" w:eastAsia="Times New Roman" w:hAnsi="Arial" w:cs="Arial"/>
          <w:i/>
          <w:iCs/>
          <w:lang w:eastAsia="hr-HR"/>
        </w:rPr>
        <w:t>”</w:t>
      </w:r>
      <w:r w:rsidR="0043127D">
        <w:rPr>
          <w:rFonts w:ascii="Arial" w:eastAsia="Times New Roman" w:hAnsi="Arial" w:cs="Arial"/>
          <w:lang w:eastAsia="hr-HR"/>
        </w:rPr>
        <w:t xml:space="preserve"> zaključ</w:t>
      </w:r>
      <w:r w:rsidR="005B5C5E">
        <w:rPr>
          <w:rFonts w:ascii="Arial" w:eastAsia="Times New Roman" w:hAnsi="Arial" w:cs="Arial"/>
          <w:lang w:eastAsia="hr-HR"/>
        </w:rPr>
        <w:t>uje</w:t>
      </w:r>
      <w:r w:rsidR="0043127D">
        <w:rPr>
          <w:rFonts w:ascii="Arial" w:eastAsia="Times New Roman" w:hAnsi="Arial" w:cs="Arial"/>
          <w:lang w:eastAsia="hr-HR"/>
        </w:rPr>
        <w:t xml:space="preserve"> autorica Katarina Ott</w:t>
      </w:r>
      <w:r w:rsidR="008244FE" w:rsidRPr="00F82596">
        <w:rPr>
          <w:rFonts w:ascii="Arial" w:eastAsia="Times New Roman" w:hAnsi="Arial" w:cs="Arial"/>
          <w:lang w:eastAsia="hr-HR"/>
        </w:rPr>
        <w:t xml:space="preserve">. </w:t>
      </w:r>
    </w:p>
    <w:p w14:paraId="1373E06D" w14:textId="77777777" w:rsidR="008244FE" w:rsidRDefault="008244FE" w:rsidP="008244FE">
      <w:pPr>
        <w:rPr>
          <w:rFonts w:ascii="Times New Roman" w:hAnsi="Times New Roman" w:cs="Times New Roman"/>
          <w:sz w:val="24"/>
          <w:szCs w:val="24"/>
        </w:rPr>
      </w:pPr>
      <w:bookmarkStart w:id="0" w:name="_Hlk171671294"/>
      <w:bookmarkEnd w:id="0"/>
    </w:p>
    <w:p w14:paraId="33920AD9" w14:textId="77777777" w:rsidR="00A15496" w:rsidRPr="00F45350" w:rsidRDefault="00A15496" w:rsidP="00A15496">
      <w:pPr>
        <w:spacing w:before="360" w:after="12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lastRenderedPageBreak/>
        <w:t>***</w:t>
      </w:r>
    </w:p>
    <w:p w14:paraId="71439403" w14:textId="224B8D7B" w:rsidR="00A15496" w:rsidRPr="00B719E5" w:rsidRDefault="00A15496" w:rsidP="00A15496">
      <w:pPr>
        <w:spacing w:after="0" w:line="240" w:lineRule="auto"/>
        <w:rPr>
          <w:rFonts w:ascii="Arial" w:hAnsi="Arial" w:cs="Arial"/>
          <w:color w:val="7F7F7F" w:themeColor="text1" w:themeTint="80"/>
          <w:sz w:val="18"/>
          <w:szCs w:val="18"/>
        </w:rPr>
      </w:pPr>
      <w:r w:rsidRPr="00F1654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10" w:history="1"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Public </w:t>
        </w:r>
        <w:proofErr w:type="spellStart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Sector</w:t>
        </w:r>
        <w:proofErr w:type="spellEnd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 </w:t>
        </w:r>
        <w:proofErr w:type="spellStart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Economics</w:t>
        </w:r>
        <w:proofErr w:type="spellEnd"/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1" w:history="1">
        <w:r w:rsidRPr="00F1654D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2" w:history="1">
        <w:r w:rsidRPr="00663E33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A15496" w:rsidRPr="00B719E5" w:rsidSect="00B83B16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568C5" w14:textId="77777777" w:rsidR="00E005EA" w:rsidRDefault="00E005EA" w:rsidP="00E1357A">
      <w:pPr>
        <w:spacing w:after="0" w:line="240" w:lineRule="auto"/>
      </w:pPr>
      <w:r>
        <w:separator/>
      </w:r>
    </w:p>
  </w:endnote>
  <w:endnote w:type="continuationSeparator" w:id="0">
    <w:p w14:paraId="21793D90" w14:textId="77777777" w:rsidR="00E005EA" w:rsidRDefault="00E005EA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05A1" w14:textId="77777777" w:rsidR="00E1357A" w:rsidRDefault="00E1357A" w:rsidP="00E1357A">
    <w:pPr>
      <w:pStyle w:val="Footer"/>
      <w:spacing w:line="220" w:lineRule="exact"/>
      <w:jc w:val="center"/>
      <w:rPr>
        <w:rFonts w:ascii="Arial" w:hAnsi="Arial" w:cs="Arial"/>
        <w:b/>
        <w:smallCaps/>
        <w:color w:val="595959" w:themeColor="text1" w:themeTint="A6"/>
        <w:sz w:val="16"/>
        <w:szCs w:val="16"/>
      </w:rPr>
    </w:pPr>
  </w:p>
  <w:p w14:paraId="1F38CA22" w14:textId="47B5A711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Smičiklasova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21, 10 000 Zagreb, Hrvatska | p.p.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e-mail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D62694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103E7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web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: www.ijf.hr</w:t>
    </w:r>
  </w:p>
  <w:p w14:paraId="60AF358B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fax: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3226344 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Raiffeisenbank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Austria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d.d.</w:t>
    </w:r>
  </w:p>
  <w:p w14:paraId="3CA6025E" w14:textId="77777777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 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 xml:space="preserve">swift: rzbhhr2xxxx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iban</w:t>
    </w:r>
    <w:proofErr w:type="spellEnd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88A4" w14:textId="77777777" w:rsidR="00E005EA" w:rsidRDefault="00E005EA" w:rsidP="00E1357A">
      <w:pPr>
        <w:spacing w:after="0" w:line="240" w:lineRule="auto"/>
      </w:pPr>
      <w:r>
        <w:separator/>
      </w:r>
    </w:p>
  </w:footnote>
  <w:footnote w:type="continuationSeparator" w:id="0">
    <w:p w14:paraId="6AA4B3B9" w14:textId="77777777" w:rsidR="00E005EA" w:rsidRDefault="00E005EA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B1E" w14:textId="309F4803" w:rsidR="00E1357A" w:rsidRDefault="00E135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390CE" wp14:editId="699A5CCD">
          <wp:simplePos x="0" y="0"/>
          <wp:positionH relativeFrom="column">
            <wp:posOffset>-468630</wp:posOffset>
          </wp:positionH>
          <wp:positionV relativeFrom="paragraph">
            <wp:posOffset>-449580</wp:posOffset>
          </wp:positionV>
          <wp:extent cx="3169920" cy="1382395"/>
          <wp:effectExtent l="0" t="0" r="0" b="8255"/>
          <wp:wrapTight wrapText="bothSides">
            <wp:wrapPolygon edited="0">
              <wp:start x="0" y="0"/>
              <wp:lineTo x="0" y="21431"/>
              <wp:lineTo x="21418" y="21431"/>
              <wp:lineTo x="21418" y="0"/>
              <wp:lineTo x="0" y="0"/>
            </wp:wrapPolygon>
          </wp:wrapTight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138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5F8"/>
    <w:multiLevelType w:val="hybridMultilevel"/>
    <w:tmpl w:val="A04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CD37360"/>
    <w:multiLevelType w:val="hybridMultilevel"/>
    <w:tmpl w:val="56BCD116"/>
    <w:lvl w:ilvl="0" w:tplc="E35AA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53BF5"/>
    <w:multiLevelType w:val="hybridMultilevel"/>
    <w:tmpl w:val="B45C9D36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NzQxMzE3Njc1NTBX0lEKTi0uzszPAykwrQUAZEt+biwAAAA="/>
  </w:docVars>
  <w:rsids>
    <w:rsidRoot w:val="0063685E"/>
    <w:rsid w:val="00001EB2"/>
    <w:rsid w:val="00015950"/>
    <w:rsid w:val="00026362"/>
    <w:rsid w:val="00030C4F"/>
    <w:rsid w:val="0004758B"/>
    <w:rsid w:val="000547FF"/>
    <w:rsid w:val="0006203A"/>
    <w:rsid w:val="00062219"/>
    <w:rsid w:val="00070F00"/>
    <w:rsid w:val="00077B90"/>
    <w:rsid w:val="0008180D"/>
    <w:rsid w:val="00097A35"/>
    <w:rsid w:val="000A293C"/>
    <w:rsid w:val="000A2AFA"/>
    <w:rsid w:val="000B24C4"/>
    <w:rsid w:val="000D08C2"/>
    <w:rsid w:val="000D28EA"/>
    <w:rsid w:val="000E21F0"/>
    <w:rsid w:val="000E5522"/>
    <w:rsid w:val="000F0E08"/>
    <w:rsid w:val="000F4B4B"/>
    <w:rsid w:val="000F6842"/>
    <w:rsid w:val="00101299"/>
    <w:rsid w:val="001339E9"/>
    <w:rsid w:val="0013646D"/>
    <w:rsid w:val="001372A1"/>
    <w:rsid w:val="00146714"/>
    <w:rsid w:val="00163FC6"/>
    <w:rsid w:val="00172E2A"/>
    <w:rsid w:val="00173E3A"/>
    <w:rsid w:val="001865D9"/>
    <w:rsid w:val="00187078"/>
    <w:rsid w:val="001B2602"/>
    <w:rsid w:val="001C410B"/>
    <w:rsid w:val="001D4ADC"/>
    <w:rsid w:val="001D72E0"/>
    <w:rsid w:val="001E783D"/>
    <w:rsid w:val="00217772"/>
    <w:rsid w:val="002212A5"/>
    <w:rsid w:val="00223FD2"/>
    <w:rsid w:val="00233F5E"/>
    <w:rsid w:val="002352BE"/>
    <w:rsid w:val="00252628"/>
    <w:rsid w:val="00267115"/>
    <w:rsid w:val="002718CE"/>
    <w:rsid w:val="00273518"/>
    <w:rsid w:val="00284AE2"/>
    <w:rsid w:val="00285C22"/>
    <w:rsid w:val="002911E0"/>
    <w:rsid w:val="00297211"/>
    <w:rsid w:val="00297BC1"/>
    <w:rsid w:val="002A72C3"/>
    <w:rsid w:val="002B516D"/>
    <w:rsid w:val="002B6C9E"/>
    <w:rsid w:val="002E7F7F"/>
    <w:rsid w:val="00304EFA"/>
    <w:rsid w:val="00305D6F"/>
    <w:rsid w:val="003136A7"/>
    <w:rsid w:val="00321274"/>
    <w:rsid w:val="00323A5E"/>
    <w:rsid w:val="00325E95"/>
    <w:rsid w:val="00330832"/>
    <w:rsid w:val="0033491E"/>
    <w:rsid w:val="003457FF"/>
    <w:rsid w:val="0034634C"/>
    <w:rsid w:val="00351163"/>
    <w:rsid w:val="00367749"/>
    <w:rsid w:val="003714AB"/>
    <w:rsid w:val="00382EF4"/>
    <w:rsid w:val="00387A3E"/>
    <w:rsid w:val="003B4805"/>
    <w:rsid w:val="003B76B8"/>
    <w:rsid w:val="003C37A7"/>
    <w:rsid w:val="003C7701"/>
    <w:rsid w:val="003D0428"/>
    <w:rsid w:val="003E01C0"/>
    <w:rsid w:val="003F70E6"/>
    <w:rsid w:val="00405C40"/>
    <w:rsid w:val="00430EE4"/>
    <w:rsid w:val="0043127D"/>
    <w:rsid w:val="00440A38"/>
    <w:rsid w:val="00450336"/>
    <w:rsid w:val="00450DC5"/>
    <w:rsid w:val="00480703"/>
    <w:rsid w:val="00483BA2"/>
    <w:rsid w:val="004A4567"/>
    <w:rsid w:val="004A59F7"/>
    <w:rsid w:val="004B3E1B"/>
    <w:rsid w:val="004B77F4"/>
    <w:rsid w:val="004F2DB7"/>
    <w:rsid w:val="00500B93"/>
    <w:rsid w:val="005141B9"/>
    <w:rsid w:val="005241F5"/>
    <w:rsid w:val="005328FE"/>
    <w:rsid w:val="00541FD1"/>
    <w:rsid w:val="00542F9C"/>
    <w:rsid w:val="0054385D"/>
    <w:rsid w:val="005609A8"/>
    <w:rsid w:val="0056153E"/>
    <w:rsid w:val="005754E3"/>
    <w:rsid w:val="00575F0D"/>
    <w:rsid w:val="00596CCD"/>
    <w:rsid w:val="005B5C5E"/>
    <w:rsid w:val="005E1A13"/>
    <w:rsid w:val="005F4F1D"/>
    <w:rsid w:val="0062246B"/>
    <w:rsid w:val="00626EAB"/>
    <w:rsid w:val="006323D2"/>
    <w:rsid w:val="0063685E"/>
    <w:rsid w:val="006420B5"/>
    <w:rsid w:val="006563AF"/>
    <w:rsid w:val="00660304"/>
    <w:rsid w:val="00664586"/>
    <w:rsid w:val="00667C35"/>
    <w:rsid w:val="00670452"/>
    <w:rsid w:val="0067266E"/>
    <w:rsid w:val="0068332B"/>
    <w:rsid w:val="00683A67"/>
    <w:rsid w:val="006952A6"/>
    <w:rsid w:val="006A01A9"/>
    <w:rsid w:val="006A2C0D"/>
    <w:rsid w:val="006B034D"/>
    <w:rsid w:val="006B1742"/>
    <w:rsid w:val="006B2D5F"/>
    <w:rsid w:val="006C2C8A"/>
    <w:rsid w:val="006E3280"/>
    <w:rsid w:val="006F52A8"/>
    <w:rsid w:val="007121FA"/>
    <w:rsid w:val="0072473A"/>
    <w:rsid w:val="007475DA"/>
    <w:rsid w:val="007572F5"/>
    <w:rsid w:val="007624D3"/>
    <w:rsid w:val="00775604"/>
    <w:rsid w:val="007779A1"/>
    <w:rsid w:val="00780686"/>
    <w:rsid w:val="007846DC"/>
    <w:rsid w:val="00784EBA"/>
    <w:rsid w:val="00785779"/>
    <w:rsid w:val="00792532"/>
    <w:rsid w:val="00793A2D"/>
    <w:rsid w:val="007A78DC"/>
    <w:rsid w:val="007B461E"/>
    <w:rsid w:val="007D1D28"/>
    <w:rsid w:val="00804698"/>
    <w:rsid w:val="00805583"/>
    <w:rsid w:val="008144FC"/>
    <w:rsid w:val="00817F11"/>
    <w:rsid w:val="008244FE"/>
    <w:rsid w:val="0082517C"/>
    <w:rsid w:val="008325FD"/>
    <w:rsid w:val="00832C52"/>
    <w:rsid w:val="00837B78"/>
    <w:rsid w:val="00844DD4"/>
    <w:rsid w:val="00844F45"/>
    <w:rsid w:val="008505EE"/>
    <w:rsid w:val="00851258"/>
    <w:rsid w:val="00866DFA"/>
    <w:rsid w:val="0087441C"/>
    <w:rsid w:val="00883F10"/>
    <w:rsid w:val="00887002"/>
    <w:rsid w:val="008B1C22"/>
    <w:rsid w:val="008B20D7"/>
    <w:rsid w:val="008B4C0F"/>
    <w:rsid w:val="008B7158"/>
    <w:rsid w:val="008D4EA3"/>
    <w:rsid w:val="008E27B8"/>
    <w:rsid w:val="008F0291"/>
    <w:rsid w:val="009103E7"/>
    <w:rsid w:val="00916122"/>
    <w:rsid w:val="009165ED"/>
    <w:rsid w:val="009317EF"/>
    <w:rsid w:val="00932BA2"/>
    <w:rsid w:val="00934B7D"/>
    <w:rsid w:val="0093612C"/>
    <w:rsid w:val="00946C7B"/>
    <w:rsid w:val="009559B0"/>
    <w:rsid w:val="00963F69"/>
    <w:rsid w:val="0097370B"/>
    <w:rsid w:val="00997629"/>
    <w:rsid w:val="009A778B"/>
    <w:rsid w:val="009B30C8"/>
    <w:rsid w:val="009B5B5C"/>
    <w:rsid w:val="009C6138"/>
    <w:rsid w:val="009D1CC8"/>
    <w:rsid w:val="009D71F1"/>
    <w:rsid w:val="009D7AC6"/>
    <w:rsid w:val="009E1367"/>
    <w:rsid w:val="009F22D7"/>
    <w:rsid w:val="009F306F"/>
    <w:rsid w:val="009F3E32"/>
    <w:rsid w:val="009F74EC"/>
    <w:rsid w:val="00A0238A"/>
    <w:rsid w:val="00A070CA"/>
    <w:rsid w:val="00A15496"/>
    <w:rsid w:val="00A25159"/>
    <w:rsid w:val="00A30986"/>
    <w:rsid w:val="00A32CED"/>
    <w:rsid w:val="00A472E9"/>
    <w:rsid w:val="00A547DB"/>
    <w:rsid w:val="00A57117"/>
    <w:rsid w:val="00A72EA0"/>
    <w:rsid w:val="00A7512D"/>
    <w:rsid w:val="00A839DB"/>
    <w:rsid w:val="00A84E0B"/>
    <w:rsid w:val="00A93C14"/>
    <w:rsid w:val="00AB0CBC"/>
    <w:rsid w:val="00AB3485"/>
    <w:rsid w:val="00AC5504"/>
    <w:rsid w:val="00AD0B5E"/>
    <w:rsid w:val="00AD6182"/>
    <w:rsid w:val="00AE3157"/>
    <w:rsid w:val="00AF48B3"/>
    <w:rsid w:val="00B21D4C"/>
    <w:rsid w:val="00B2341C"/>
    <w:rsid w:val="00B261E1"/>
    <w:rsid w:val="00B343F6"/>
    <w:rsid w:val="00B456DF"/>
    <w:rsid w:val="00B60AB0"/>
    <w:rsid w:val="00B671AE"/>
    <w:rsid w:val="00B719E5"/>
    <w:rsid w:val="00B83B16"/>
    <w:rsid w:val="00B96349"/>
    <w:rsid w:val="00B96EB5"/>
    <w:rsid w:val="00BA287B"/>
    <w:rsid w:val="00BA2E0F"/>
    <w:rsid w:val="00BE4212"/>
    <w:rsid w:val="00BF45F8"/>
    <w:rsid w:val="00C04E5E"/>
    <w:rsid w:val="00C17C4F"/>
    <w:rsid w:val="00C46FEB"/>
    <w:rsid w:val="00C51AD2"/>
    <w:rsid w:val="00C5343C"/>
    <w:rsid w:val="00C53F8D"/>
    <w:rsid w:val="00C60AC4"/>
    <w:rsid w:val="00C662B5"/>
    <w:rsid w:val="00C82FC8"/>
    <w:rsid w:val="00C85E14"/>
    <w:rsid w:val="00CA2119"/>
    <w:rsid w:val="00CC30F4"/>
    <w:rsid w:val="00CC65E8"/>
    <w:rsid w:val="00CE45CB"/>
    <w:rsid w:val="00D20A4A"/>
    <w:rsid w:val="00D359D9"/>
    <w:rsid w:val="00D468D8"/>
    <w:rsid w:val="00D47C28"/>
    <w:rsid w:val="00D57EE8"/>
    <w:rsid w:val="00D60B30"/>
    <w:rsid w:val="00D62694"/>
    <w:rsid w:val="00D821B7"/>
    <w:rsid w:val="00D83FB4"/>
    <w:rsid w:val="00D84B38"/>
    <w:rsid w:val="00D90B74"/>
    <w:rsid w:val="00D9558A"/>
    <w:rsid w:val="00DB06B0"/>
    <w:rsid w:val="00DD653E"/>
    <w:rsid w:val="00DE30D7"/>
    <w:rsid w:val="00E005EA"/>
    <w:rsid w:val="00E1357A"/>
    <w:rsid w:val="00E17329"/>
    <w:rsid w:val="00E20412"/>
    <w:rsid w:val="00E21C0F"/>
    <w:rsid w:val="00E23E09"/>
    <w:rsid w:val="00E33A6D"/>
    <w:rsid w:val="00E37B0F"/>
    <w:rsid w:val="00E576A2"/>
    <w:rsid w:val="00E76B4F"/>
    <w:rsid w:val="00E77AEB"/>
    <w:rsid w:val="00E85560"/>
    <w:rsid w:val="00E90D2B"/>
    <w:rsid w:val="00E9328A"/>
    <w:rsid w:val="00EB2774"/>
    <w:rsid w:val="00EC31E5"/>
    <w:rsid w:val="00ED64CC"/>
    <w:rsid w:val="00EE132B"/>
    <w:rsid w:val="00EE4A38"/>
    <w:rsid w:val="00EE70A4"/>
    <w:rsid w:val="00EF0C51"/>
    <w:rsid w:val="00EF138D"/>
    <w:rsid w:val="00F01D2C"/>
    <w:rsid w:val="00F05ECE"/>
    <w:rsid w:val="00F11976"/>
    <w:rsid w:val="00F12740"/>
    <w:rsid w:val="00F129D6"/>
    <w:rsid w:val="00F13487"/>
    <w:rsid w:val="00F14733"/>
    <w:rsid w:val="00F14745"/>
    <w:rsid w:val="00F27A7C"/>
    <w:rsid w:val="00F302AD"/>
    <w:rsid w:val="00F409F8"/>
    <w:rsid w:val="00F53263"/>
    <w:rsid w:val="00F6634D"/>
    <w:rsid w:val="00F82596"/>
    <w:rsid w:val="00F83274"/>
    <w:rsid w:val="00FA2A23"/>
    <w:rsid w:val="00FA33C2"/>
    <w:rsid w:val="00FA3E45"/>
    <w:rsid w:val="00FB0B6D"/>
    <w:rsid w:val="00FB2F38"/>
    <w:rsid w:val="00FD2F44"/>
    <w:rsid w:val="00FE01BF"/>
    <w:rsid w:val="00FE43C9"/>
    <w:rsid w:val="00FF104A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aliases w:val="Footnotes,Footnotes Char,Footnote Text Char Char,Footnotes Char Char,Tekst fusnote Char,Footnotes Char2,Footnotes Char Char2,Footnote Text Char Char Char1,fn,Footnote Text Char Char Char Char Char Char,single space,footnote text,FOOTNOTES"/>
    <w:basedOn w:val="Normal"/>
    <w:link w:val="FootnoteTextChar"/>
    <w:uiPriority w:val="99"/>
    <w:unhideWhenUsed/>
    <w:qFormat/>
    <w:rsid w:val="00297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s Char1,Footnotes Char Char1,Footnote Text Char Char Char,Footnotes Char Char Char,Tekst fusnote Char Char,Footnotes Char2 Char,Footnotes Char Char2 Char,Footnote Text Char Char Char1 Char,fn Char,single space Char"/>
    <w:basedOn w:val="DefaultParagraphFont"/>
    <w:link w:val="FootnoteText"/>
    <w:uiPriority w:val="99"/>
    <w:rsid w:val="00297BC1"/>
    <w:rPr>
      <w:sz w:val="20"/>
      <w:szCs w:val="20"/>
      <w:lang w:val="hr-HR"/>
    </w:rPr>
  </w:style>
  <w:style w:type="character" w:styleId="FootnoteReference">
    <w:name w:val="footnote reference"/>
    <w:aliases w:val="BVI fnr,Footnote symbol,Footnote,Fussnota,note TESI,Footnote reference number,ftref,fr,16 Point,Superscript 6 Point,Footnote Reference Number,Footnote Reference_LVL6,Footnote Reference_LVL61,Footnote Reference_LVL62, BVI fnr"/>
    <w:basedOn w:val="DefaultParagraphFont"/>
    <w:uiPriority w:val="99"/>
    <w:rsid w:val="00297BC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7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BC1"/>
    <w:rPr>
      <w:sz w:val="20"/>
      <w:szCs w:val="20"/>
      <w:lang w:val="hr-HR"/>
    </w:rPr>
  </w:style>
  <w:style w:type="paragraph" w:customStyle="1" w:styleId="Paragrafbody">
    <w:name w:val="Paragraf body"/>
    <w:basedOn w:val="Normal"/>
    <w:qFormat/>
    <w:rsid w:val="00297BC1"/>
    <w:pPr>
      <w:autoSpaceDE w:val="0"/>
      <w:autoSpaceDN w:val="0"/>
      <w:adjustRightInd w:val="0"/>
      <w:spacing w:after="480" w:line="360" w:lineRule="auto"/>
    </w:pPr>
    <w:rPr>
      <w:rFonts w:ascii="Montserrat" w:hAnsi="Montserrat" w:cs="Montserrat"/>
      <w:sz w:val="23"/>
      <w:szCs w:val="23"/>
      <w:u w:color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4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42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1B2602"/>
    <w:pPr>
      <w:spacing w:after="0" w:line="240" w:lineRule="auto"/>
    </w:pPr>
    <w:rPr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F69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F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3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.nsk.hr/urn:nbn:hr:242:48017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jf.hr/hr/publikacije/casopisi/osvrti-instituta-za-javne-financij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jf.hr/hr/publikacije/casopisi/newslett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se-journal.hr/en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zitorij.ijf.hr/islandora/object/ijf:954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B5FD-D557-4324-9FA8-8F5612F9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Marina Nekić</cp:lastModifiedBy>
  <cp:revision>10</cp:revision>
  <cp:lastPrinted>2021-12-06T07:52:00Z</cp:lastPrinted>
  <dcterms:created xsi:type="dcterms:W3CDTF">2024-07-17T20:07:00Z</dcterms:created>
  <dcterms:modified xsi:type="dcterms:W3CDTF">2024-07-18T06:08:00Z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e8aa534d2db6330c9ebd774595eca794ab895421c0587af9a1c8a91acde039ac</vt:lpwstr>
  </property>
</Properties>
</file>